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2F74" w:rsidRDefault="00FF2F74" w:rsidP="00194E2D">
      <w:pPr>
        <w:spacing w:line="240" w:lineRule="auto"/>
        <w:jc w:val="center"/>
        <w:rPr>
          <w:b/>
          <w:i/>
          <w:sz w:val="28"/>
          <w:szCs w:val="28"/>
          <w:lang w:val="en-US"/>
        </w:rPr>
      </w:pPr>
    </w:p>
    <w:p w:rsidR="00A017BD" w:rsidRDefault="00A017BD" w:rsidP="00A017BD">
      <w:pPr>
        <w:spacing w:line="240" w:lineRule="auto"/>
        <w:jc w:val="center"/>
        <w:rPr>
          <w:b/>
          <w:sz w:val="28"/>
          <w:szCs w:val="28"/>
          <w:lang w:val="en-US"/>
        </w:rPr>
      </w:pPr>
    </w:p>
    <w:p w:rsidR="00A017BD" w:rsidRDefault="00A017BD" w:rsidP="00A017BD">
      <w:pPr>
        <w:spacing w:line="240" w:lineRule="auto"/>
        <w:jc w:val="center"/>
        <w:rPr>
          <w:b/>
          <w:sz w:val="28"/>
          <w:szCs w:val="28"/>
          <w:lang w:val="en-US"/>
        </w:rPr>
      </w:pPr>
      <w:r w:rsidRPr="00A53CC2">
        <w:rPr>
          <w:b/>
          <w:sz w:val="28"/>
          <w:szCs w:val="28"/>
          <w:lang w:val="en-US"/>
        </w:rPr>
        <w:t>Regulating Cyber Behavior:</w:t>
      </w:r>
      <w:r>
        <w:rPr>
          <w:b/>
          <w:sz w:val="28"/>
          <w:szCs w:val="28"/>
          <w:lang w:val="en-US"/>
        </w:rPr>
        <w:t xml:space="preserve">                                                      </w:t>
      </w:r>
      <w:r w:rsidRPr="00A53CC2">
        <w:rPr>
          <w:b/>
          <w:sz w:val="28"/>
          <w:szCs w:val="28"/>
          <w:lang w:val="en-US"/>
        </w:rPr>
        <w:t>Some Initial Reflections on Codes of Conduct</w:t>
      </w:r>
      <w:r>
        <w:rPr>
          <w:b/>
          <w:sz w:val="28"/>
          <w:szCs w:val="28"/>
          <w:lang w:val="en-US"/>
        </w:rPr>
        <w:t xml:space="preserve">                          a</w:t>
      </w:r>
      <w:r w:rsidRPr="00A53CC2">
        <w:rPr>
          <w:b/>
          <w:sz w:val="28"/>
          <w:szCs w:val="28"/>
          <w:lang w:val="en-US"/>
        </w:rPr>
        <w:t>n</w:t>
      </w:r>
      <w:r>
        <w:rPr>
          <w:b/>
          <w:sz w:val="28"/>
          <w:szCs w:val="28"/>
          <w:lang w:val="en-US"/>
        </w:rPr>
        <w:t>d</w:t>
      </w:r>
      <w:r w:rsidRPr="00A53CC2">
        <w:rPr>
          <w:b/>
          <w:sz w:val="28"/>
          <w:szCs w:val="28"/>
          <w:lang w:val="en-US"/>
        </w:rPr>
        <w:t xml:space="preserve"> Confidence-Building Measures</w:t>
      </w:r>
    </w:p>
    <w:p w:rsidR="00A53CC2" w:rsidRPr="006A5EAC" w:rsidRDefault="00A017BD" w:rsidP="008A4B61">
      <w:pPr>
        <w:spacing w:line="360" w:lineRule="auto"/>
        <w:jc w:val="center"/>
        <w:rPr>
          <w:i/>
          <w:sz w:val="28"/>
          <w:szCs w:val="28"/>
          <w:lang w:val="en-US"/>
        </w:rPr>
      </w:pPr>
      <w:r>
        <w:rPr>
          <w:i/>
          <w:sz w:val="28"/>
          <w:szCs w:val="28"/>
          <w:lang w:val="en-US"/>
        </w:rPr>
        <w:t>Henning Wegener</w:t>
      </w:r>
      <w:r w:rsidR="00D470D9">
        <w:rPr>
          <w:rStyle w:val="Refdenotaalpie"/>
          <w:i/>
          <w:sz w:val="28"/>
          <w:szCs w:val="28"/>
          <w:lang w:val="en-US"/>
        </w:rPr>
        <w:footnoteReference w:id="1"/>
      </w:r>
    </w:p>
    <w:p w:rsidR="00A84374" w:rsidRDefault="00A84374" w:rsidP="00AC3FF6">
      <w:pPr>
        <w:autoSpaceDE w:val="0"/>
        <w:autoSpaceDN w:val="0"/>
        <w:adjustRightInd w:val="0"/>
        <w:spacing w:after="0" w:line="360" w:lineRule="auto"/>
        <w:rPr>
          <w:szCs w:val="24"/>
          <w:lang w:val="en-US"/>
        </w:rPr>
      </w:pPr>
    </w:p>
    <w:p w:rsidR="00FE7FD5" w:rsidRPr="00C66DBC" w:rsidRDefault="00D470D9" w:rsidP="00AC3FF6">
      <w:pPr>
        <w:autoSpaceDE w:val="0"/>
        <w:autoSpaceDN w:val="0"/>
        <w:adjustRightInd w:val="0"/>
        <w:spacing w:after="0" w:line="360" w:lineRule="auto"/>
        <w:rPr>
          <w:szCs w:val="24"/>
          <w:lang w:val="en-US"/>
        </w:rPr>
      </w:pPr>
      <w:r>
        <w:rPr>
          <w:szCs w:val="24"/>
          <w:lang w:val="en-US"/>
        </w:rPr>
        <w:t>The</w:t>
      </w:r>
      <w:r w:rsidR="00A53CC2">
        <w:rPr>
          <w:szCs w:val="24"/>
          <w:lang w:val="en-US"/>
        </w:rPr>
        <w:t xml:space="preserve"> Permanent Monitoring Panel</w:t>
      </w:r>
      <w:r>
        <w:rPr>
          <w:szCs w:val="24"/>
          <w:lang w:val="en-US"/>
        </w:rPr>
        <w:t xml:space="preserve"> on Information Security of the</w:t>
      </w:r>
      <w:r w:rsidR="00CD2A53">
        <w:rPr>
          <w:szCs w:val="24"/>
          <w:lang w:val="en-US"/>
        </w:rPr>
        <w:t xml:space="preserve"> World Federation of Scientists</w:t>
      </w:r>
      <w:r w:rsidR="00A53CC2">
        <w:rPr>
          <w:szCs w:val="24"/>
          <w:lang w:val="en-US"/>
        </w:rPr>
        <w:t xml:space="preserve"> has from its inception geared its work to the overriding issues of harnessing cyber conflict, and to the organizational challenge of creating a u</w:t>
      </w:r>
      <w:r w:rsidR="00912D1B">
        <w:rPr>
          <w:szCs w:val="24"/>
          <w:lang w:val="en-US"/>
        </w:rPr>
        <w:t xml:space="preserve">niversal order of cyberspace. We were convinced </w:t>
      </w:r>
      <w:r w:rsidR="00A53CC2">
        <w:rPr>
          <w:szCs w:val="24"/>
          <w:lang w:val="en-US"/>
        </w:rPr>
        <w:t xml:space="preserve">that </w:t>
      </w:r>
      <w:r w:rsidR="003601E1">
        <w:rPr>
          <w:szCs w:val="24"/>
          <w:lang w:val="en-US"/>
        </w:rPr>
        <w:t xml:space="preserve">the </w:t>
      </w:r>
      <w:r w:rsidR="00A53CC2">
        <w:rPr>
          <w:szCs w:val="24"/>
          <w:lang w:val="en-US"/>
        </w:rPr>
        <w:t>cyber</w:t>
      </w:r>
      <w:r w:rsidR="003601E1">
        <w:rPr>
          <w:szCs w:val="24"/>
          <w:lang w:val="en-US"/>
        </w:rPr>
        <w:t xml:space="preserve"> sphere</w:t>
      </w:r>
      <w:r w:rsidR="00C84FAE">
        <w:rPr>
          <w:szCs w:val="24"/>
          <w:lang w:val="en-US"/>
        </w:rPr>
        <w:t xml:space="preserve"> is, if not a lawless space, </w:t>
      </w:r>
      <w:r w:rsidR="00A53CC2">
        <w:rPr>
          <w:szCs w:val="24"/>
          <w:lang w:val="en-US"/>
        </w:rPr>
        <w:t xml:space="preserve">at least one that lacks a comprehensive legal framework to manage and control the all-pervasive, infinite potential of digital technologies. </w:t>
      </w:r>
      <w:r w:rsidR="008A4B61">
        <w:rPr>
          <w:szCs w:val="24"/>
          <w:lang w:val="en-US"/>
        </w:rPr>
        <w:t xml:space="preserve">Consequently, </w:t>
      </w:r>
      <w:r w:rsidR="000A3C77">
        <w:rPr>
          <w:rFonts w:cs="MyriadPro-Light"/>
          <w:szCs w:val="24"/>
          <w:lang w:val="en-US"/>
        </w:rPr>
        <w:t>there is little or</w:t>
      </w:r>
      <w:r w:rsidR="008A4B61" w:rsidRPr="008A4B61">
        <w:rPr>
          <w:rFonts w:cs="MyriadPro-Light"/>
          <w:szCs w:val="24"/>
          <w:lang w:val="en-US"/>
        </w:rPr>
        <w:t xml:space="preserve"> no ability to effectively control</w:t>
      </w:r>
      <w:r w:rsidR="003601E1">
        <w:rPr>
          <w:rFonts w:cs="MyriadPro-Light"/>
          <w:szCs w:val="24"/>
          <w:lang w:val="en-US"/>
        </w:rPr>
        <w:t xml:space="preserve"> </w:t>
      </w:r>
      <w:r w:rsidR="008A4B61" w:rsidRPr="008A4B61">
        <w:rPr>
          <w:rFonts w:cs="MyriadPro-Light"/>
          <w:szCs w:val="24"/>
          <w:lang w:val="en-US"/>
        </w:rPr>
        <w:t>the escalation of cyber</w:t>
      </w:r>
      <w:r w:rsidR="008A4B61">
        <w:rPr>
          <w:rFonts w:cs="MyriadPro-Light"/>
          <w:szCs w:val="24"/>
          <w:lang w:val="en-US"/>
        </w:rPr>
        <w:t xml:space="preserve"> </w:t>
      </w:r>
      <w:r w:rsidR="008A4B61" w:rsidRPr="008A4B61">
        <w:rPr>
          <w:rFonts w:cs="MyriadPro-Light"/>
          <w:szCs w:val="24"/>
          <w:lang w:val="en-US"/>
        </w:rPr>
        <w:t>conflict</w:t>
      </w:r>
      <w:r w:rsidR="008A4B61">
        <w:rPr>
          <w:rFonts w:cs="MyriadPro-Light"/>
          <w:szCs w:val="24"/>
          <w:lang w:val="en-US"/>
        </w:rPr>
        <w:t xml:space="preserve">, and there is no </w:t>
      </w:r>
      <w:r w:rsidR="008A4B61" w:rsidRPr="008A4B61">
        <w:rPr>
          <w:rFonts w:cs="MyriadPro-Light"/>
          <w:szCs w:val="24"/>
          <w:lang w:val="en-US"/>
        </w:rPr>
        <w:t>common understanding of how the existing</w:t>
      </w:r>
      <w:r w:rsidR="008A4B61">
        <w:rPr>
          <w:rFonts w:cs="MyriadPro-Light"/>
          <w:szCs w:val="24"/>
          <w:lang w:val="en-US"/>
        </w:rPr>
        <w:t xml:space="preserve"> </w:t>
      </w:r>
      <w:r w:rsidR="008A4B61" w:rsidRPr="008A4B61">
        <w:rPr>
          <w:rFonts w:cs="MyriadPro-Light"/>
          <w:szCs w:val="24"/>
          <w:lang w:val="en-US"/>
        </w:rPr>
        <w:t>nor</w:t>
      </w:r>
      <w:r w:rsidR="008A4B61">
        <w:rPr>
          <w:rFonts w:cs="MyriadPro-Light"/>
          <w:szCs w:val="24"/>
          <w:lang w:val="en-US"/>
        </w:rPr>
        <w:t>ms of international</w:t>
      </w:r>
      <w:r w:rsidR="008A4B61" w:rsidRPr="008A4B61">
        <w:rPr>
          <w:rFonts w:cs="MyriadPro-Light"/>
          <w:szCs w:val="24"/>
          <w:lang w:val="en-US"/>
        </w:rPr>
        <w:t xml:space="preserve"> law would apply</w:t>
      </w:r>
      <w:r w:rsidR="00274EEF">
        <w:rPr>
          <w:rFonts w:cs="MyriadPro-Light"/>
          <w:szCs w:val="24"/>
          <w:lang w:val="en-US"/>
        </w:rPr>
        <w:t xml:space="preserve"> </w:t>
      </w:r>
      <w:r w:rsidR="008A4B61" w:rsidRPr="008A4B61">
        <w:rPr>
          <w:rFonts w:cs="MyriadPro-Light"/>
          <w:szCs w:val="24"/>
          <w:lang w:val="en-US"/>
        </w:rPr>
        <w:t>—</w:t>
      </w:r>
      <w:r w:rsidR="00274EEF">
        <w:rPr>
          <w:rFonts w:cs="MyriadPro-Light"/>
          <w:szCs w:val="24"/>
          <w:lang w:val="en-US"/>
        </w:rPr>
        <w:t xml:space="preserve"> </w:t>
      </w:r>
      <w:r w:rsidR="008A4B61" w:rsidRPr="008A4B61">
        <w:rPr>
          <w:rFonts w:cs="MyriadPro-Light"/>
          <w:szCs w:val="24"/>
          <w:lang w:val="en-US"/>
        </w:rPr>
        <w:t>if at all.</w:t>
      </w:r>
      <w:r w:rsidR="008A4B61">
        <w:rPr>
          <w:rFonts w:cs="MyriadPro-Light"/>
          <w:szCs w:val="24"/>
          <w:lang w:val="en-US"/>
        </w:rPr>
        <w:t xml:space="preserve"> </w:t>
      </w:r>
      <w:proofErr w:type="gramStart"/>
      <w:r w:rsidR="008A4B61">
        <w:rPr>
          <w:rFonts w:cs="MyriadPro-Light"/>
          <w:szCs w:val="24"/>
          <w:lang w:val="en-US"/>
        </w:rPr>
        <w:t>A dangerous, precarious state of affairs, which our group has never ceased to analyze and denounce.</w:t>
      </w:r>
      <w:proofErr w:type="gramEnd"/>
      <w:r w:rsidR="008A4B61">
        <w:rPr>
          <w:rFonts w:cs="MyriadPro-Light"/>
          <w:szCs w:val="24"/>
          <w:lang w:val="en-US"/>
        </w:rPr>
        <w:t xml:space="preserve"> </w:t>
      </w:r>
      <w:r w:rsidR="00AC3FF6">
        <w:rPr>
          <w:rFonts w:cs="MyriadPro-Light"/>
          <w:lang w:val="en-US"/>
        </w:rPr>
        <w:t xml:space="preserve"> </w:t>
      </w:r>
      <w:r w:rsidR="00AC3FF6" w:rsidRPr="003601E1">
        <w:rPr>
          <w:rFonts w:cs="MyriadPro-Light"/>
          <w:szCs w:val="24"/>
          <w:lang w:val="en-US"/>
        </w:rPr>
        <w:t>From the beginning of our</w:t>
      </w:r>
      <w:r w:rsidR="00AC3FF6">
        <w:rPr>
          <w:rFonts w:cs="MyriadPro-Light"/>
          <w:lang w:val="en-US"/>
        </w:rPr>
        <w:t xml:space="preserve"> </w:t>
      </w:r>
      <w:r w:rsidR="00AC3FF6" w:rsidRPr="003601E1">
        <w:rPr>
          <w:rFonts w:cs="MyriadPro-Light"/>
          <w:szCs w:val="24"/>
          <w:lang w:val="en-US"/>
        </w:rPr>
        <w:t>activity, we have argued that a comprehensive international legal framework</w:t>
      </w:r>
      <w:r w:rsidR="00BA0B93">
        <w:rPr>
          <w:szCs w:val="24"/>
          <w:lang w:val="en-US"/>
        </w:rPr>
        <w:t xml:space="preserve"> is </w:t>
      </w:r>
      <w:proofErr w:type="gramStart"/>
      <w:r w:rsidR="00BA0B93">
        <w:rPr>
          <w:szCs w:val="24"/>
          <w:lang w:val="en-US"/>
        </w:rPr>
        <w:t xml:space="preserve">required </w:t>
      </w:r>
      <w:r w:rsidR="00AC3FF6" w:rsidRPr="003601E1">
        <w:rPr>
          <w:szCs w:val="24"/>
          <w:lang w:val="en-US"/>
        </w:rPr>
        <w:t xml:space="preserve"> </w:t>
      </w:r>
      <w:r w:rsidR="000A3C77">
        <w:rPr>
          <w:szCs w:val="24"/>
          <w:lang w:val="en-US"/>
        </w:rPr>
        <w:t>to</w:t>
      </w:r>
      <w:proofErr w:type="gramEnd"/>
      <w:r w:rsidR="000A3C77">
        <w:rPr>
          <w:szCs w:val="24"/>
          <w:lang w:val="en-US"/>
        </w:rPr>
        <w:t xml:space="preserve"> fill this void, </w:t>
      </w:r>
      <w:r w:rsidR="00AC3FF6" w:rsidRPr="003601E1">
        <w:rPr>
          <w:szCs w:val="24"/>
          <w:lang w:val="en-US"/>
        </w:rPr>
        <w:t>establishing norms and rules for adequate, responsible state behavior</w:t>
      </w:r>
      <w:r w:rsidR="00274EEF">
        <w:rPr>
          <w:szCs w:val="24"/>
          <w:lang w:val="en-US"/>
        </w:rPr>
        <w:t xml:space="preserve"> in order </w:t>
      </w:r>
      <w:r w:rsidR="00AC3FF6" w:rsidRPr="003601E1">
        <w:rPr>
          <w:szCs w:val="24"/>
          <w:lang w:val="en-US"/>
        </w:rPr>
        <w:t>to ensure and guarantee th</w:t>
      </w:r>
      <w:r w:rsidR="003601E1">
        <w:rPr>
          <w:szCs w:val="24"/>
          <w:lang w:val="en-US"/>
        </w:rPr>
        <w:t>e peaceful use of cyber spac</w:t>
      </w:r>
      <w:r w:rsidR="00AC3FF6" w:rsidRPr="003601E1">
        <w:rPr>
          <w:szCs w:val="24"/>
          <w:lang w:val="en-US"/>
        </w:rPr>
        <w:t xml:space="preserve">e. Our first </w:t>
      </w:r>
      <w:r w:rsidR="003601E1">
        <w:rPr>
          <w:szCs w:val="24"/>
          <w:lang w:val="en-US"/>
        </w:rPr>
        <w:t>major document, “Toward a Universal Order of C</w:t>
      </w:r>
      <w:r w:rsidR="00AC3FF6" w:rsidRPr="003601E1">
        <w:rPr>
          <w:szCs w:val="24"/>
          <w:lang w:val="en-US"/>
        </w:rPr>
        <w:t>yberspace</w:t>
      </w:r>
      <w:r w:rsidR="004003F0">
        <w:rPr>
          <w:szCs w:val="24"/>
          <w:lang w:val="en-US"/>
        </w:rPr>
        <w:t xml:space="preserve">: Managing </w:t>
      </w:r>
      <w:r w:rsidR="003601E1">
        <w:rPr>
          <w:szCs w:val="24"/>
          <w:lang w:val="en-US"/>
        </w:rPr>
        <w:t>Threat</w:t>
      </w:r>
      <w:r w:rsidR="00555E19">
        <w:rPr>
          <w:szCs w:val="24"/>
          <w:lang w:val="en-US"/>
        </w:rPr>
        <w:t xml:space="preserve">s from Cybercrime to </w:t>
      </w:r>
      <w:proofErr w:type="spellStart"/>
      <w:r w:rsidR="004003F0">
        <w:rPr>
          <w:szCs w:val="24"/>
          <w:lang w:val="en-US"/>
        </w:rPr>
        <w:t>Cyberwar</w:t>
      </w:r>
      <w:proofErr w:type="spellEnd"/>
      <w:r w:rsidR="004003F0">
        <w:rPr>
          <w:szCs w:val="24"/>
          <w:lang w:val="en-US"/>
        </w:rPr>
        <w:t>”</w:t>
      </w:r>
      <w:r w:rsidR="00A60E4E">
        <w:rPr>
          <w:rStyle w:val="Refdenotaalpie"/>
          <w:szCs w:val="24"/>
          <w:lang w:val="en-US"/>
        </w:rPr>
        <w:footnoteReference w:id="2"/>
      </w:r>
      <w:r w:rsidR="004003F0">
        <w:rPr>
          <w:szCs w:val="24"/>
          <w:lang w:val="en-US"/>
        </w:rPr>
        <w:t xml:space="preserve"> reflects that approach.</w:t>
      </w:r>
      <w:r w:rsidR="003601E1">
        <w:rPr>
          <w:szCs w:val="24"/>
          <w:lang w:val="en-US"/>
        </w:rPr>
        <w:t xml:space="preserve"> </w:t>
      </w:r>
      <w:r w:rsidR="004003F0">
        <w:rPr>
          <w:szCs w:val="24"/>
          <w:lang w:val="en-US"/>
        </w:rPr>
        <w:t>A</w:t>
      </w:r>
      <w:r w:rsidR="00AC3FF6" w:rsidRPr="003601E1">
        <w:rPr>
          <w:szCs w:val="24"/>
          <w:lang w:val="en-US"/>
        </w:rPr>
        <w:t xml:space="preserve">t that time, </w:t>
      </w:r>
      <w:r w:rsidR="004003F0">
        <w:rPr>
          <w:szCs w:val="24"/>
          <w:lang w:val="en-US"/>
        </w:rPr>
        <w:t xml:space="preserve">we ambitiously called for </w:t>
      </w:r>
      <w:proofErr w:type="gramStart"/>
      <w:r w:rsidR="004003F0">
        <w:rPr>
          <w:szCs w:val="24"/>
          <w:lang w:val="en-US"/>
        </w:rPr>
        <w:t>a</w:t>
      </w:r>
      <w:proofErr w:type="gramEnd"/>
      <w:r w:rsidR="00AC3FF6" w:rsidRPr="003601E1">
        <w:rPr>
          <w:szCs w:val="24"/>
          <w:lang w:val="en-US"/>
        </w:rPr>
        <w:t xml:space="preserve"> UN-led </w:t>
      </w:r>
      <w:r w:rsidR="004003F0">
        <w:rPr>
          <w:szCs w:val="24"/>
          <w:lang w:val="en-US"/>
        </w:rPr>
        <w:t xml:space="preserve">effort to create a Comprehensive Law of Cyberspace. Our erstwhile colleague Ambassador </w:t>
      </w:r>
      <w:proofErr w:type="spellStart"/>
      <w:r w:rsidR="004003F0">
        <w:rPr>
          <w:szCs w:val="24"/>
          <w:lang w:val="en-US"/>
        </w:rPr>
        <w:t>Kamal</w:t>
      </w:r>
      <w:proofErr w:type="spellEnd"/>
      <w:r w:rsidR="004003F0">
        <w:rPr>
          <w:szCs w:val="24"/>
          <w:lang w:val="en-US"/>
        </w:rPr>
        <w:t xml:space="preserve"> has later fleshed out this project in a book “The Law of Cyber-Space: An Invitation to the Table of</w:t>
      </w:r>
      <w:r w:rsidR="00AC3FF6" w:rsidRPr="003601E1">
        <w:rPr>
          <w:szCs w:val="24"/>
          <w:lang w:val="en-US"/>
        </w:rPr>
        <w:t xml:space="preserve"> </w:t>
      </w:r>
      <w:r w:rsidR="004003F0">
        <w:rPr>
          <w:szCs w:val="24"/>
          <w:lang w:val="en-US"/>
        </w:rPr>
        <w:lastRenderedPageBreak/>
        <w:t>Negotiations”</w:t>
      </w:r>
      <w:r w:rsidR="00A60E4E">
        <w:rPr>
          <w:rStyle w:val="Refdenotaalpie"/>
          <w:szCs w:val="24"/>
          <w:lang w:val="en-US"/>
        </w:rPr>
        <w:footnoteReference w:id="3"/>
      </w:r>
      <w:r w:rsidR="004003F0">
        <w:rPr>
          <w:szCs w:val="24"/>
          <w:lang w:val="en-US"/>
        </w:rPr>
        <w:t xml:space="preserve">. Yet, we were not the first ones to embrace </w:t>
      </w:r>
      <w:r w:rsidR="00555E19">
        <w:rPr>
          <w:szCs w:val="24"/>
          <w:lang w:val="en-US"/>
        </w:rPr>
        <w:t>such a complex endeavor. At the Unite</w:t>
      </w:r>
      <w:r w:rsidR="006A77C1">
        <w:rPr>
          <w:szCs w:val="24"/>
          <w:lang w:val="en-US"/>
        </w:rPr>
        <w:t>d Nations, Russia has as of 1998</w:t>
      </w:r>
      <w:r w:rsidR="00274EEF">
        <w:rPr>
          <w:szCs w:val="24"/>
          <w:lang w:val="en-US"/>
        </w:rPr>
        <w:t>,</w:t>
      </w:r>
      <w:r w:rsidR="00555E19">
        <w:rPr>
          <w:szCs w:val="24"/>
          <w:lang w:val="en-US"/>
        </w:rPr>
        <w:t xml:space="preserve"> in a series of </w:t>
      </w:r>
      <w:r w:rsidR="00286E87">
        <w:rPr>
          <w:szCs w:val="24"/>
          <w:lang w:val="en-US"/>
        </w:rPr>
        <w:t xml:space="preserve">UN </w:t>
      </w:r>
      <w:r w:rsidR="00555E19">
        <w:rPr>
          <w:szCs w:val="24"/>
          <w:lang w:val="en-US"/>
        </w:rPr>
        <w:t>draft resolutions</w:t>
      </w:r>
      <w:r w:rsidR="00274EEF">
        <w:rPr>
          <w:szCs w:val="24"/>
          <w:lang w:val="en-US"/>
        </w:rPr>
        <w:t>,</w:t>
      </w:r>
      <w:r w:rsidR="00555E19">
        <w:rPr>
          <w:szCs w:val="24"/>
          <w:lang w:val="en-US"/>
        </w:rPr>
        <w:t xml:space="preserve"> advocated a Cyber Treaty</w:t>
      </w:r>
      <w:r w:rsidR="000A3C77">
        <w:rPr>
          <w:szCs w:val="24"/>
          <w:lang w:val="en-US"/>
        </w:rPr>
        <w:t xml:space="preserve">, proposing detailed, although </w:t>
      </w:r>
      <w:proofErr w:type="spellStart"/>
      <w:r w:rsidR="000A3C77">
        <w:rPr>
          <w:szCs w:val="24"/>
          <w:lang w:val="en-US"/>
        </w:rPr>
        <w:t>conflictual</w:t>
      </w:r>
      <w:proofErr w:type="spellEnd"/>
      <w:r w:rsidR="000A3C77">
        <w:rPr>
          <w:szCs w:val="24"/>
          <w:lang w:val="en-US"/>
        </w:rPr>
        <w:t xml:space="preserve"> </w:t>
      </w:r>
      <w:r w:rsidR="006E6353">
        <w:rPr>
          <w:szCs w:val="24"/>
          <w:lang w:val="en-US"/>
        </w:rPr>
        <w:t xml:space="preserve">and probably </w:t>
      </w:r>
      <w:proofErr w:type="spellStart"/>
      <w:r w:rsidR="006E6353">
        <w:rPr>
          <w:szCs w:val="24"/>
          <w:lang w:val="en-US"/>
        </w:rPr>
        <w:t>unimplementable</w:t>
      </w:r>
      <w:proofErr w:type="spellEnd"/>
      <w:r w:rsidR="006E6353">
        <w:rPr>
          <w:szCs w:val="24"/>
          <w:lang w:val="en-US"/>
        </w:rPr>
        <w:t xml:space="preserve"> </w:t>
      </w:r>
      <w:r w:rsidR="00274EEF">
        <w:rPr>
          <w:szCs w:val="24"/>
          <w:lang w:val="en-US"/>
        </w:rPr>
        <w:t>contents</w:t>
      </w:r>
      <w:r w:rsidR="00A60E4E">
        <w:rPr>
          <w:rStyle w:val="Refdenotaalpie"/>
          <w:szCs w:val="24"/>
          <w:lang w:val="en-US"/>
        </w:rPr>
        <w:footnoteReference w:id="4"/>
      </w:r>
      <w:r w:rsidR="00274EEF">
        <w:rPr>
          <w:szCs w:val="24"/>
          <w:lang w:val="en-US"/>
        </w:rPr>
        <w:t>. T</w:t>
      </w:r>
      <w:r w:rsidR="008747BF">
        <w:rPr>
          <w:szCs w:val="24"/>
          <w:lang w:val="en-US"/>
        </w:rPr>
        <w:t>hese draft resolutions became an annual exercise in frustration:</w:t>
      </w:r>
      <w:r w:rsidR="00555E19">
        <w:rPr>
          <w:szCs w:val="24"/>
          <w:lang w:val="en-US"/>
        </w:rPr>
        <w:t xml:space="preserve"> </w:t>
      </w:r>
      <w:r w:rsidR="009C69E9">
        <w:rPr>
          <w:rFonts w:cs="MyriadPro-Light"/>
          <w:szCs w:val="24"/>
          <w:lang w:val="en-US"/>
        </w:rPr>
        <w:t>the Russian initiative was</w:t>
      </w:r>
      <w:r w:rsidR="008747BF">
        <w:rPr>
          <w:rFonts w:cs="MyriadPro-Light"/>
          <w:szCs w:val="24"/>
          <w:lang w:val="en-US"/>
        </w:rPr>
        <w:t xml:space="preserve"> </w:t>
      </w:r>
      <w:r w:rsidR="000A3C77">
        <w:rPr>
          <w:rFonts w:cs="MyriadPro-Light"/>
          <w:szCs w:val="24"/>
          <w:lang w:val="en-US"/>
        </w:rPr>
        <w:t xml:space="preserve">for many </w:t>
      </w:r>
      <w:r w:rsidR="008747BF">
        <w:rPr>
          <w:rFonts w:cs="MyriadPro-Light"/>
          <w:szCs w:val="24"/>
          <w:lang w:val="en-US"/>
        </w:rPr>
        <w:t xml:space="preserve">years </w:t>
      </w:r>
      <w:r w:rsidR="00555E19">
        <w:rPr>
          <w:rFonts w:cs="MyriadPro-Light"/>
          <w:szCs w:val="24"/>
          <w:lang w:val="en-US"/>
        </w:rPr>
        <w:t>rejected b</w:t>
      </w:r>
      <w:r w:rsidR="009C69E9">
        <w:rPr>
          <w:rFonts w:cs="MyriadPro-Light"/>
          <w:szCs w:val="24"/>
          <w:lang w:val="en-US"/>
        </w:rPr>
        <w:t>y a number of</w:t>
      </w:r>
      <w:r w:rsidR="000A3C77">
        <w:rPr>
          <w:rFonts w:cs="MyriadPro-Light"/>
          <w:szCs w:val="24"/>
          <w:lang w:val="en-US"/>
        </w:rPr>
        <w:t xml:space="preserve"> Western countries, but </w:t>
      </w:r>
      <w:r w:rsidR="008747BF">
        <w:rPr>
          <w:rFonts w:cs="MyriadPro-Light"/>
          <w:szCs w:val="24"/>
          <w:lang w:val="en-US"/>
        </w:rPr>
        <w:t xml:space="preserve">yet </w:t>
      </w:r>
      <w:r w:rsidR="000A3C77">
        <w:rPr>
          <w:rFonts w:cs="MyriadPro-Light"/>
          <w:szCs w:val="24"/>
          <w:lang w:val="en-US"/>
        </w:rPr>
        <w:t>had the undoubted merit of keeping the argument alive that a major normative effort was required.</w:t>
      </w:r>
      <w:r w:rsidR="00A74A16">
        <w:rPr>
          <w:rStyle w:val="Refdenotaalpie"/>
          <w:rFonts w:cs="MyriadPro-Light"/>
          <w:szCs w:val="24"/>
          <w:lang w:val="en-US"/>
        </w:rPr>
        <w:footnoteReference w:id="5"/>
      </w:r>
      <w:r w:rsidR="000A3C77">
        <w:rPr>
          <w:rFonts w:cs="MyriadPro-Light"/>
          <w:szCs w:val="24"/>
          <w:lang w:val="en-US"/>
        </w:rPr>
        <w:t xml:space="preserve"> </w:t>
      </w:r>
      <w:r w:rsidR="00C66DBC">
        <w:rPr>
          <w:szCs w:val="24"/>
          <w:lang w:val="en-US"/>
        </w:rPr>
        <w:t xml:space="preserve"> </w:t>
      </w:r>
      <w:r w:rsidR="00BF162A">
        <w:rPr>
          <w:rFonts w:cs="MyriadPro-Light"/>
          <w:szCs w:val="24"/>
          <w:lang w:val="en-US"/>
        </w:rPr>
        <w:t>ITU Secretary General</w:t>
      </w:r>
      <w:r w:rsidR="000A3C77">
        <w:rPr>
          <w:rFonts w:cs="MyriadPro-Light"/>
          <w:szCs w:val="24"/>
          <w:lang w:val="en-US"/>
        </w:rPr>
        <w:t xml:space="preserve"> </w:t>
      </w:r>
      <w:proofErr w:type="spellStart"/>
      <w:r w:rsidR="000A3C77">
        <w:rPr>
          <w:rFonts w:cs="MyriadPro-Light"/>
          <w:szCs w:val="24"/>
          <w:lang w:val="en-US"/>
        </w:rPr>
        <w:t>Hamadoun</w:t>
      </w:r>
      <w:proofErr w:type="spellEnd"/>
      <w:r w:rsidR="000A3C77">
        <w:rPr>
          <w:rFonts w:cs="MyriadPro-Light"/>
          <w:szCs w:val="24"/>
          <w:lang w:val="en-US"/>
        </w:rPr>
        <w:t xml:space="preserve"> </w:t>
      </w:r>
      <w:proofErr w:type="spellStart"/>
      <w:r w:rsidR="000A3C77">
        <w:rPr>
          <w:rFonts w:cs="MyriadPro-Light"/>
          <w:szCs w:val="24"/>
          <w:lang w:val="en-US"/>
        </w:rPr>
        <w:t>Touré</w:t>
      </w:r>
      <w:proofErr w:type="spellEnd"/>
      <w:r w:rsidR="00BF162A">
        <w:rPr>
          <w:rFonts w:cs="MyriadPro-Light"/>
          <w:szCs w:val="24"/>
          <w:lang w:val="en-US"/>
        </w:rPr>
        <w:t xml:space="preserve"> has early on</w:t>
      </w:r>
      <w:r w:rsidR="00F74496">
        <w:rPr>
          <w:rFonts w:cs="MyriadPro-Light"/>
          <w:szCs w:val="24"/>
          <w:lang w:val="en-US"/>
        </w:rPr>
        <w:t xml:space="preserve">, and then repeatedly, </w:t>
      </w:r>
      <w:r w:rsidR="00BF162A">
        <w:rPr>
          <w:rFonts w:cs="MyriadPro-Light"/>
          <w:szCs w:val="24"/>
          <w:lang w:val="en-US"/>
        </w:rPr>
        <w:t>cal</w:t>
      </w:r>
      <w:r w:rsidR="00286E87">
        <w:rPr>
          <w:rFonts w:cs="MyriadPro-Light"/>
          <w:szCs w:val="24"/>
          <w:lang w:val="en-US"/>
        </w:rPr>
        <w:t>led for a “Global Cyber Treaty”</w:t>
      </w:r>
      <w:r w:rsidR="003811BD">
        <w:rPr>
          <w:rStyle w:val="Refdenotaalpie"/>
          <w:rFonts w:cs="MyriadPro-Light"/>
          <w:szCs w:val="24"/>
          <w:lang w:val="en-US"/>
        </w:rPr>
        <w:footnoteReference w:id="6"/>
      </w:r>
      <w:r w:rsidR="00286E87">
        <w:rPr>
          <w:rFonts w:cs="MyriadPro-Light"/>
          <w:szCs w:val="24"/>
          <w:lang w:val="en-US"/>
        </w:rPr>
        <w:t>, laying out</w:t>
      </w:r>
      <w:r w:rsidR="00FE1F08">
        <w:rPr>
          <w:rFonts w:cs="MyriadPro-Light"/>
          <w:szCs w:val="24"/>
          <w:lang w:val="en-US"/>
        </w:rPr>
        <w:t xml:space="preserve"> some essential provisions.</w:t>
      </w:r>
      <w:r w:rsidR="000A3C77">
        <w:rPr>
          <w:rFonts w:cs="MyriadPro-Light"/>
          <w:szCs w:val="24"/>
          <w:lang w:val="en-US"/>
        </w:rPr>
        <w:t xml:space="preserve"> </w:t>
      </w:r>
      <w:r w:rsidR="00FE1F08">
        <w:rPr>
          <w:rFonts w:cs="MyriadPro-Light"/>
          <w:szCs w:val="24"/>
          <w:lang w:val="en-US"/>
        </w:rPr>
        <w:t xml:space="preserve">He has thus added an authoritative UN voice to the quest for a normative framework. </w:t>
      </w:r>
      <w:r w:rsidR="00C66DBC">
        <w:rPr>
          <w:rFonts w:cs="MyriadPro-Light"/>
          <w:szCs w:val="24"/>
          <w:lang w:val="en-US"/>
        </w:rPr>
        <w:t>Many other advocates for comprehensive treaty-making could be cited</w:t>
      </w:r>
      <w:r w:rsidR="00D62FD5">
        <w:rPr>
          <w:rStyle w:val="Refdenotaalpie"/>
          <w:rFonts w:cs="MyriadPro-Light"/>
          <w:szCs w:val="24"/>
          <w:lang w:val="en-US"/>
        </w:rPr>
        <w:footnoteReference w:id="7"/>
      </w:r>
      <w:r w:rsidR="00C66DBC">
        <w:rPr>
          <w:rFonts w:cs="MyriadPro-Light"/>
          <w:szCs w:val="24"/>
          <w:lang w:val="en-US"/>
        </w:rPr>
        <w:t xml:space="preserve">. </w:t>
      </w:r>
    </w:p>
    <w:p w:rsidR="00AE6588" w:rsidRDefault="00AE6588" w:rsidP="006E6353">
      <w:pPr>
        <w:autoSpaceDE w:val="0"/>
        <w:autoSpaceDN w:val="0"/>
        <w:adjustRightInd w:val="0"/>
        <w:spacing w:after="0" w:line="360" w:lineRule="auto"/>
        <w:rPr>
          <w:rFonts w:cs="MyriadPro-Light"/>
          <w:szCs w:val="24"/>
          <w:lang w:val="en-US"/>
        </w:rPr>
      </w:pPr>
    </w:p>
    <w:p w:rsidR="006E6353" w:rsidRDefault="00AE6588" w:rsidP="006E6353">
      <w:pPr>
        <w:autoSpaceDE w:val="0"/>
        <w:autoSpaceDN w:val="0"/>
        <w:adjustRightInd w:val="0"/>
        <w:spacing w:after="0" w:line="360" w:lineRule="auto"/>
        <w:rPr>
          <w:rFonts w:cs="MyriadPro-Light"/>
          <w:szCs w:val="24"/>
          <w:lang w:val="en-US"/>
        </w:rPr>
      </w:pPr>
      <w:r>
        <w:rPr>
          <w:rFonts w:cs="MyriadPro-Light"/>
          <w:szCs w:val="24"/>
          <w:lang w:val="en-US"/>
        </w:rPr>
        <w:t>But h</w:t>
      </w:r>
      <w:r w:rsidR="005B2C2B" w:rsidRPr="006E6353">
        <w:rPr>
          <w:rFonts w:cs="MyriadPro-Light"/>
          <w:szCs w:val="24"/>
          <w:lang w:val="en-US"/>
        </w:rPr>
        <w:t>owever attractive the concept of a comprehensive Convention on Cyber Space – comparable to the</w:t>
      </w:r>
      <w:r w:rsidR="00B00AB5" w:rsidRPr="006E6353">
        <w:rPr>
          <w:rFonts w:cs="MyriadPro-Light"/>
          <w:szCs w:val="24"/>
          <w:lang w:val="en-US"/>
        </w:rPr>
        <w:t xml:space="preserve"> UN Convention</w:t>
      </w:r>
      <w:r w:rsidR="00C66DBC">
        <w:rPr>
          <w:rFonts w:cs="MyriadPro-Light"/>
          <w:szCs w:val="24"/>
          <w:lang w:val="en-US"/>
        </w:rPr>
        <w:t xml:space="preserve"> on the Law of the Sea of </w:t>
      </w:r>
      <w:proofErr w:type="gramStart"/>
      <w:r w:rsidR="00C66DBC">
        <w:rPr>
          <w:rFonts w:cs="MyriadPro-Light"/>
          <w:szCs w:val="24"/>
          <w:lang w:val="en-US"/>
        </w:rPr>
        <w:t>1982</w:t>
      </w:r>
      <w:r w:rsidR="00274EEF">
        <w:rPr>
          <w:rFonts w:cs="MyriadPro-Light"/>
          <w:szCs w:val="24"/>
          <w:lang w:val="en-US"/>
        </w:rPr>
        <w:t xml:space="preserve"> </w:t>
      </w:r>
      <w:r w:rsidR="00C66DBC">
        <w:rPr>
          <w:rFonts w:cs="MyriadPro-Light"/>
          <w:szCs w:val="24"/>
          <w:lang w:val="en-US"/>
        </w:rPr>
        <w:t xml:space="preserve"> -</w:t>
      </w:r>
      <w:proofErr w:type="gramEnd"/>
      <w:r w:rsidR="00C66DBC">
        <w:rPr>
          <w:rFonts w:cs="MyriadPro-Light"/>
          <w:szCs w:val="24"/>
          <w:lang w:val="en-US"/>
        </w:rPr>
        <w:t xml:space="preserve"> </w:t>
      </w:r>
      <w:r w:rsidR="00B00AB5" w:rsidRPr="006E6353">
        <w:rPr>
          <w:rFonts w:cs="MyriadPro-Light"/>
          <w:szCs w:val="24"/>
          <w:lang w:val="en-US"/>
        </w:rPr>
        <w:t xml:space="preserve"> , the obstacles to such an instrument and its</w:t>
      </w:r>
      <w:r w:rsidR="00C66DBC">
        <w:rPr>
          <w:rFonts w:cs="MyriadPro-Light"/>
          <w:szCs w:val="24"/>
          <w:lang w:val="en-US"/>
        </w:rPr>
        <w:t xml:space="preserve"> creation were </w:t>
      </w:r>
      <w:r>
        <w:rPr>
          <w:rFonts w:cs="MyriadPro-Light"/>
          <w:szCs w:val="24"/>
          <w:lang w:val="en-US"/>
        </w:rPr>
        <w:t xml:space="preserve">increasingly </w:t>
      </w:r>
      <w:r w:rsidR="00C66DBC">
        <w:rPr>
          <w:rFonts w:cs="MyriadPro-Light"/>
          <w:szCs w:val="24"/>
          <w:lang w:val="en-US"/>
        </w:rPr>
        <w:t xml:space="preserve">recognized as </w:t>
      </w:r>
      <w:r w:rsidR="008B4854">
        <w:rPr>
          <w:rFonts w:cs="MyriadPro-Light"/>
          <w:szCs w:val="24"/>
          <w:lang w:val="en-US"/>
        </w:rPr>
        <w:t>overwhelming. Cyberspace might be</w:t>
      </w:r>
      <w:r w:rsidR="00B00AB5" w:rsidRPr="006E6353">
        <w:rPr>
          <w:rFonts w:cs="MyriadPro-Light"/>
          <w:szCs w:val="24"/>
          <w:lang w:val="en-US"/>
        </w:rPr>
        <w:t xml:space="preserve"> even more complex than the ocean world. Digit</w:t>
      </w:r>
      <w:r w:rsidR="00C66DBC">
        <w:rPr>
          <w:rFonts w:cs="MyriadPro-Light"/>
          <w:szCs w:val="24"/>
          <w:lang w:val="en-US"/>
        </w:rPr>
        <w:t xml:space="preserve">al technologies and their uses </w:t>
      </w:r>
      <w:r w:rsidR="00B00AB5" w:rsidRPr="006E6353">
        <w:rPr>
          <w:rFonts w:cs="MyriadPro-Light"/>
          <w:szCs w:val="24"/>
          <w:lang w:val="en-US"/>
        </w:rPr>
        <w:t>are still evolving at a rapid pace. Universal treaty-maki</w:t>
      </w:r>
      <w:r w:rsidR="00274EEF">
        <w:rPr>
          <w:rFonts w:cs="MyriadPro-Light"/>
          <w:szCs w:val="24"/>
          <w:lang w:val="en-US"/>
        </w:rPr>
        <w:t>ng would be beset by still bigger</w:t>
      </w:r>
      <w:r w:rsidR="00B00AB5" w:rsidRPr="006E6353">
        <w:rPr>
          <w:rFonts w:cs="MyriadPro-Light"/>
          <w:szCs w:val="24"/>
          <w:lang w:val="en-US"/>
        </w:rPr>
        <w:t xml:space="preserve"> cleavages in individual nations’ views. Treaty negotiation would be a lengthy process, and national ratification proc</w:t>
      </w:r>
      <w:r w:rsidR="005B4274">
        <w:rPr>
          <w:rFonts w:cs="MyriadPro-Light"/>
          <w:szCs w:val="24"/>
          <w:lang w:val="en-US"/>
        </w:rPr>
        <w:t>edures would not proceed on a time scale</w:t>
      </w:r>
      <w:r w:rsidR="00B00AB5" w:rsidRPr="006E6353">
        <w:rPr>
          <w:rFonts w:cs="MyriadPro-Light"/>
          <w:szCs w:val="24"/>
          <w:lang w:val="en-US"/>
        </w:rPr>
        <w:t xml:space="preserve"> even marginally in keeping with the urgency to fill the </w:t>
      </w:r>
      <w:r w:rsidR="00B00AB5" w:rsidRPr="006E6353">
        <w:rPr>
          <w:rFonts w:cs="MyriadPro-Light"/>
          <w:szCs w:val="24"/>
          <w:lang w:val="en-US"/>
        </w:rPr>
        <w:lastRenderedPageBreak/>
        <w:t>legal void</w:t>
      </w:r>
      <w:r w:rsidR="00AD419D" w:rsidRPr="006E6353">
        <w:rPr>
          <w:rFonts w:cs="MyriadPro-Light"/>
          <w:szCs w:val="24"/>
          <w:lang w:val="en-US"/>
        </w:rPr>
        <w:t xml:space="preserve"> and the growing</w:t>
      </w:r>
      <w:r w:rsidR="00C66DBC">
        <w:rPr>
          <w:rFonts w:cs="MyriadPro-Light"/>
          <w:szCs w:val="24"/>
          <w:lang w:val="en-US"/>
        </w:rPr>
        <w:t>,</w:t>
      </w:r>
      <w:r w:rsidR="00AD419D" w:rsidRPr="006E6353">
        <w:rPr>
          <w:rFonts w:cs="MyriadPro-Light"/>
          <w:szCs w:val="24"/>
          <w:lang w:val="en-US"/>
        </w:rPr>
        <w:t xml:space="preserve"> shared perception among governments that the threat of </w:t>
      </w:r>
      <w:proofErr w:type="spellStart"/>
      <w:r w:rsidR="00AD419D" w:rsidRPr="006E6353">
        <w:rPr>
          <w:rFonts w:cs="MyriadPro-Light"/>
          <w:szCs w:val="24"/>
          <w:lang w:val="en-US"/>
        </w:rPr>
        <w:t>cyberconflict</w:t>
      </w:r>
      <w:proofErr w:type="spellEnd"/>
      <w:r w:rsidR="00C66DBC">
        <w:rPr>
          <w:rFonts w:cs="MyriadPro-Light"/>
          <w:szCs w:val="24"/>
          <w:lang w:val="en-US"/>
        </w:rPr>
        <w:t xml:space="preserve"> and unmanageable cyber damage</w:t>
      </w:r>
      <w:r w:rsidR="00AD419D" w:rsidRPr="006E6353">
        <w:rPr>
          <w:rFonts w:cs="MyriadPro-Light"/>
          <w:szCs w:val="24"/>
          <w:lang w:val="en-US"/>
        </w:rPr>
        <w:t xml:space="preserve"> is escalating out of control.</w:t>
      </w:r>
      <w:r w:rsidR="006E6353" w:rsidRPr="006E6353">
        <w:rPr>
          <w:rFonts w:cs="MyriadPro-Light"/>
          <w:szCs w:val="24"/>
          <w:lang w:val="en-US"/>
        </w:rPr>
        <w:t xml:space="preserve"> Binding commitments to avoid attack or hostile actions </w:t>
      </w:r>
      <w:r w:rsidR="00DA08A5">
        <w:rPr>
          <w:rFonts w:cs="MyriadPro-Light"/>
          <w:szCs w:val="24"/>
          <w:lang w:val="en-US"/>
        </w:rPr>
        <w:t xml:space="preserve">and corresponding </w:t>
      </w:r>
      <w:r w:rsidR="006E6353">
        <w:rPr>
          <w:rFonts w:cs="MyriadPro-Light"/>
          <w:szCs w:val="24"/>
          <w:lang w:val="en-US"/>
        </w:rPr>
        <w:t>sa</w:t>
      </w:r>
      <w:r w:rsidR="00FC69CF">
        <w:rPr>
          <w:rFonts w:cs="MyriadPro-Light"/>
          <w:szCs w:val="24"/>
          <w:lang w:val="en-US"/>
        </w:rPr>
        <w:t xml:space="preserve">nctions would </w:t>
      </w:r>
      <w:r w:rsidR="006E6353" w:rsidRPr="006E6353">
        <w:rPr>
          <w:rFonts w:cs="MyriadPro-Light"/>
          <w:szCs w:val="24"/>
          <w:lang w:val="en-US"/>
        </w:rPr>
        <w:t>be unworkable. Important</w:t>
      </w:r>
      <w:r w:rsidR="006E6353">
        <w:rPr>
          <w:rFonts w:cs="MyriadPro-Light"/>
          <w:szCs w:val="24"/>
          <w:lang w:val="en-US"/>
        </w:rPr>
        <w:t xml:space="preserve"> </w:t>
      </w:r>
      <w:r w:rsidR="006E6353" w:rsidRPr="006E6353">
        <w:rPr>
          <w:rFonts w:cs="MyriadPro-Light"/>
          <w:szCs w:val="24"/>
          <w:lang w:val="en-US"/>
        </w:rPr>
        <w:t>definitional issues</w:t>
      </w:r>
      <w:r w:rsidR="006E6353">
        <w:rPr>
          <w:rFonts w:cs="MyriadPro-Light"/>
          <w:szCs w:val="24"/>
          <w:lang w:val="en-US"/>
        </w:rPr>
        <w:t xml:space="preserve"> would</w:t>
      </w:r>
      <w:r w:rsidR="006E6353" w:rsidRPr="006E6353">
        <w:rPr>
          <w:rFonts w:cs="MyriadPro-Light"/>
          <w:szCs w:val="24"/>
          <w:lang w:val="en-US"/>
        </w:rPr>
        <w:t xml:space="preserve"> probably </w:t>
      </w:r>
      <w:r w:rsidR="006E6353">
        <w:rPr>
          <w:rFonts w:cs="MyriadPro-Light"/>
          <w:szCs w:val="24"/>
          <w:lang w:val="en-US"/>
        </w:rPr>
        <w:t xml:space="preserve">be </w:t>
      </w:r>
      <w:proofErr w:type="spellStart"/>
      <w:r w:rsidR="00C66DBC">
        <w:rPr>
          <w:rFonts w:cs="MyriadPro-Light"/>
          <w:szCs w:val="24"/>
          <w:lang w:val="en-US"/>
        </w:rPr>
        <w:t>unresolvable</w:t>
      </w:r>
      <w:proofErr w:type="spellEnd"/>
      <w:r w:rsidR="00C66DBC">
        <w:rPr>
          <w:rFonts w:cs="MyriadPro-Light"/>
          <w:szCs w:val="24"/>
          <w:lang w:val="en-US"/>
        </w:rPr>
        <w:t xml:space="preserve"> i</w:t>
      </w:r>
      <w:r w:rsidR="006E6353">
        <w:rPr>
          <w:rFonts w:cs="MyriadPro-Light"/>
          <w:szCs w:val="24"/>
          <w:lang w:val="en-US"/>
        </w:rPr>
        <w:t>n treaty language</w:t>
      </w:r>
      <w:r w:rsidR="006E6353" w:rsidRPr="006E6353">
        <w:rPr>
          <w:rFonts w:cs="MyriadPro-Light"/>
          <w:szCs w:val="24"/>
          <w:lang w:val="en-US"/>
        </w:rPr>
        <w:t>.</w:t>
      </w:r>
      <w:r>
        <w:rPr>
          <w:rFonts w:cs="MyriadPro-Light"/>
          <w:szCs w:val="24"/>
          <w:lang w:val="en-US"/>
        </w:rPr>
        <w:t xml:space="preserve"> Thus, while a Universal Treaty/Law on Cyber</w:t>
      </w:r>
      <w:r w:rsidR="00030A4D">
        <w:rPr>
          <w:rFonts w:cs="MyriadPro-Light"/>
          <w:szCs w:val="24"/>
          <w:lang w:val="en-US"/>
        </w:rPr>
        <w:t>space remains a preferred objective</w:t>
      </w:r>
      <w:r>
        <w:rPr>
          <w:rFonts w:cs="MyriadPro-Light"/>
          <w:szCs w:val="24"/>
          <w:lang w:val="en-US"/>
        </w:rPr>
        <w:t>, a target concept,</w:t>
      </w:r>
      <w:r w:rsidR="00A74A16">
        <w:rPr>
          <w:rFonts w:cs="MyriadPro-Light"/>
          <w:szCs w:val="24"/>
          <w:lang w:val="en-US"/>
        </w:rPr>
        <w:t xml:space="preserve"> </w:t>
      </w:r>
      <w:proofErr w:type="gramStart"/>
      <w:r>
        <w:rPr>
          <w:rFonts w:cs="MyriadPro-Light"/>
          <w:szCs w:val="24"/>
          <w:lang w:val="en-US"/>
        </w:rPr>
        <w:t>practical</w:t>
      </w:r>
      <w:proofErr w:type="gramEnd"/>
      <w:r>
        <w:rPr>
          <w:rFonts w:cs="MyriadPro-Light"/>
          <w:szCs w:val="24"/>
          <w:lang w:val="en-US"/>
        </w:rPr>
        <w:t xml:space="preserve"> reasons require an alternative approach. </w:t>
      </w:r>
    </w:p>
    <w:p w:rsidR="00AE6588" w:rsidRDefault="00AE6588" w:rsidP="006E6353">
      <w:pPr>
        <w:autoSpaceDE w:val="0"/>
        <w:autoSpaceDN w:val="0"/>
        <w:adjustRightInd w:val="0"/>
        <w:spacing w:after="0" w:line="360" w:lineRule="auto"/>
        <w:rPr>
          <w:rFonts w:cs="MyriadPro-Light"/>
          <w:szCs w:val="24"/>
          <w:lang w:val="en-US"/>
        </w:rPr>
      </w:pPr>
    </w:p>
    <w:p w:rsidR="00341E54" w:rsidRDefault="00341E54" w:rsidP="006E6353">
      <w:pPr>
        <w:autoSpaceDE w:val="0"/>
        <w:autoSpaceDN w:val="0"/>
        <w:adjustRightInd w:val="0"/>
        <w:spacing w:after="0" w:line="360" w:lineRule="auto"/>
        <w:rPr>
          <w:rFonts w:cs="MyriadPro-Light"/>
          <w:szCs w:val="24"/>
          <w:lang w:val="en-US"/>
        </w:rPr>
      </w:pPr>
      <w:r w:rsidRPr="006E6353">
        <w:rPr>
          <w:rFonts w:cs="MyriadPro-Light"/>
          <w:szCs w:val="24"/>
          <w:lang w:val="en-US"/>
        </w:rPr>
        <w:t xml:space="preserve">If a </w:t>
      </w:r>
      <w:r>
        <w:rPr>
          <w:rFonts w:cs="MyriadPro-Light"/>
          <w:szCs w:val="24"/>
          <w:lang w:val="en-US"/>
        </w:rPr>
        <w:t xml:space="preserve">one-shot </w:t>
      </w:r>
      <w:r w:rsidRPr="006E6353">
        <w:rPr>
          <w:rFonts w:cs="MyriadPro-Light"/>
          <w:szCs w:val="24"/>
          <w:lang w:val="en-US"/>
        </w:rPr>
        <w:t>cyber treaty</w:t>
      </w:r>
      <w:r w:rsidR="00DA08A5">
        <w:rPr>
          <w:rFonts w:cs="MyriadPro-Light"/>
          <w:szCs w:val="24"/>
          <w:lang w:val="en-US"/>
        </w:rPr>
        <w:t xml:space="preserve"> thus</w:t>
      </w:r>
      <w:r>
        <w:rPr>
          <w:rFonts w:cs="MyriadPro-Light"/>
          <w:szCs w:val="24"/>
          <w:lang w:val="en-US"/>
        </w:rPr>
        <w:t xml:space="preserve"> is not a realistic option</w:t>
      </w:r>
      <w:r w:rsidR="00FC69CF">
        <w:rPr>
          <w:rFonts w:cs="MyriadPro-Light"/>
          <w:szCs w:val="24"/>
          <w:lang w:val="en-US"/>
        </w:rPr>
        <w:t>, or is not timely</w:t>
      </w:r>
      <w:r>
        <w:rPr>
          <w:rFonts w:cs="MyriadPro-Light"/>
          <w:szCs w:val="24"/>
          <w:lang w:val="en-US"/>
        </w:rPr>
        <w:t xml:space="preserve"> – or if early concentration on the treaty idea was perhaps even a wrong start - </w:t>
      </w:r>
      <w:r w:rsidRPr="006E6353">
        <w:rPr>
          <w:rFonts w:cs="MyriadPro-Light"/>
          <w:szCs w:val="24"/>
          <w:lang w:val="en-US"/>
        </w:rPr>
        <w:t xml:space="preserve">, neither does a simple extension </w:t>
      </w:r>
      <w:r w:rsidR="00DA08A5">
        <w:rPr>
          <w:rFonts w:cs="MyriadPro-Light"/>
          <w:szCs w:val="24"/>
          <w:lang w:val="en-US"/>
        </w:rPr>
        <w:t xml:space="preserve">by analogy </w:t>
      </w:r>
      <w:r w:rsidRPr="006E6353">
        <w:rPr>
          <w:rFonts w:cs="MyriadPro-Light"/>
          <w:szCs w:val="24"/>
          <w:lang w:val="en-US"/>
        </w:rPr>
        <w:t>of the laws of armed conflict</w:t>
      </w:r>
      <w:r>
        <w:rPr>
          <w:rFonts w:cs="MyriadPro-Light"/>
          <w:szCs w:val="24"/>
          <w:lang w:val="en-US"/>
        </w:rPr>
        <w:t xml:space="preserve"> or humanitarian international law </w:t>
      </w:r>
      <w:r w:rsidRPr="006E6353">
        <w:rPr>
          <w:rFonts w:cs="MyriadPro-Light"/>
          <w:szCs w:val="24"/>
          <w:lang w:val="en-US"/>
        </w:rPr>
        <w:t>into cyberspace</w:t>
      </w:r>
      <w:r w:rsidR="00DA08A5">
        <w:rPr>
          <w:rFonts w:cs="MyriadPro-Light"/>
          <w:szCs w:val="24"/>
          <w:lang w:val="en-US"/>
        </w:rPr>
        <w:t xml:space="preserve"> do the trick</w:t>
      </w:r>
      <w:r w:rsidRPr="006E6353">
        <w:rPr>
          <w:rFonts w:cs="MyriadPro-Light"/>
          <w:szCs w:val="24"/>
          <w:lang w:val="en-US"/>
        </w:rPr>
        <w:t>. There are areas of ambiguity, including the scale and nature of damage</w:t>
      </w:r>
      <w:r>
        <w:rPr>
          <w:rFonts w:cs="MyriadPro-Light"/>
          <w:szCs w:val="24"/>
          <w:lang w:val="en-US"/>
        </w:rPr>
        <w:t xml:space="preserve"> </w:t>
      </w:r>
      <w:r w:rsidRPr="006E6353">
        <w:rPr>
          <w:rFonts w:cs="MyriadPro-Light"/>
          <w:szCs w:val="24"/>
          <w:lang w:val="en-US"/>
        </w:rPr>
        <w:t>from cyber a</w:t>
      </w:r>
      <w:r w:rsidR="00BA0B93">
        <w:rPr>
          <w:rFonts w:cs="MyriadPro-Light"/>
          <w:szCs w:val="24"/>
          <w:lang w:val="en-US"/>
        </w:rPr>
        <w:t xml:space="preserve">ttack that could qualify as </w:t>
      </w:r>
      <w:r w:rsidRPr="006E6353">
        <w:rPr>
          <w:rFonts w:cs="MyriadPro-Light"/>
          <w:szCs w:val="24"/>
          <w:lang w:val="en-US"/>
        </w:rPr>
        <w:t>use of force</w:t>
      </w:r>
      <w:r>
        <w:rPr>
          <w:rFonts w:cs="MyriadPro-Light"/>
          <w:szCs w:val="24"/>
          <w:lang w:val="en-US"/>
        </w:rPr>
        <w:t xml:space="preserve"> which, in a rapidly evolving digital environment, would defy treaty-making</w:t>
      </w:r>
      <w:r w:rsidR="005E50B9">
        <w:rPr>
          <w:rFonts w:cs="MyriadPro-Light"/>
          <w:szCs w:val="24"/>
          <w:lang w:val="en-US"/>
        </w:rPr>
        <w:t xml:space="preserve"> or treaty analogies</w:t>
      </w:r>
      <w:r>
        <w:rPr>
          <w:rFonts w:cs="MyriadPro-Light"/>
          <w:szCs w:val="24"/>
          <w:lang w:val="en-US"/>
        </w:rPr>
        <w:t>.</w:t>
      </w:r>
    </w:p>
    <w:p w:rsidR="005E545C" w:rsidRDefault="005E545C" w:rsidP="006E6353">
      <w:pPr>
        <w:autoSpaceDE w:val="0"/>
        <w:autoSpaceDN w:val="0"/>
        <w:adjustRightInd w:val="0"/>
        <w:spacing w:after="0" w:line="360" w:lineRule="auto"/>
        <w:rPr>
          <w:rFonts w:cs="MyriadPro-Light"/>
          <w:szCs w:val="24"/>
          <w:lang w:val="en-US"/>
        </w:rPr>
      </w:pPr>
    </w:p>
    <w:p w:rsidR="00341E54" w:rsidRDefault="00AE6588" w:rsidP="006E6353">
      <w:pPr>
        <w:autoSpaceDE w:val="0"/>
        <w:autoSpaceDN w:val="0"/>
        <w:adjustRightInd w:val="0"/>
        <w:spacing w:after="0" w:line="360" w:lineRule="auto"/>
        <w:rPr>
          <w:rFonts w:cs="MyriadPro-Light"/>
          <w:szCs w:val="24"/>
          <w:lang w:val="en-US"/>
        </w:rPr>
      </w:pPr>
      <w:r>
        <w:rPr>
          <w:rFonts w:cs="MyriadPro-Light"/>
          <w:szCs w:val="24"/>
          <w:lang w:val="en-US"/>
        </w:rPr>
        <w:t>Fortunately</w:t>
      </w:r>
      <w:r w:rsidRPr="006E6353">
        <w:rPr>
          <w:rFonts w:cs="MyriadPro-Light"/>
          <w:szCs w:val="24"/>
          <w:lang w:val="en-US"/>
        </w:rPr>
        <w:t>, collective thinking about the necessary p</w:t>
      </w:r>
      <w:r>
        <w:rPr>
          <w:rFonts w:cs="MyriadPro-Light"/>
          <w:szCs w:val="24"/>
          <w:lang w:val="en-US"/>
        </w:rPr>
        <w:t>rocesses of cyber strategy</w:t>
      </w:r>
      <w:r w:rsidRPr="006E6353">
        <w:rPr>
          <w:rFonts w:cs="MyriadPro-Light"/>
          <w:szCs w:val="24"/>
          <w:lang w:val="en-US"/>
        </w:rPr>
        <w:t xml:space="preserve"> has notably evolved. </w:t>
      </w:r>
      <w:r>
        <w:rPr>
          <w:rFonts w:cs="MyriadPro-Light"/>
          <w:szCs w:val="24"/>
          <w:lang w:val="en-US"/>
        </w:rPr>
        <w:t xml:space="preserve">To make a long story short, </w:t>
      </w:r>
      <w:r w:rsidRPr="006E6353">
        <w:rPr>
          <w:rFonts w:cs="MyriadPro-Light"/>
          <w:szCs w:val="24"/>
          <w:lang w:val="en-US"/>
        </w:rPr>
        <w:t xml:space="preserve">a new age of cyber diplomacy has begun </w:t>
      </w:r>
      <w:r>
        <w:rPr>
          <w:rFonts w:cs="MyriadPro-Light"/>
          <w:szCs w:val="24"/>
          <w:lang w:val="en-US"/>
        </w:rPr>
        <w:t xml:space="preserve">around 2008 </w:t>
      </w:r>
      <w:r w:rsidRPr="006E6353">
        <w:rPr>
          <w:rFonts w:cs="MyriadPro-Light"/>
          <w:szCs w:val="24"/>
          <w:lang w:val="en-US"/>
        </w:rPr>
        <w:t>with a manifestly emerging international consensus</w:t>
      </w:r>
      <w:r>
        <w:rPr>
          <w:rFonts w:cs="MyriadPro-Light"/>
          <w:szCs w:val="24"/>
          <w:lang w:val="en-US"/>
        </w:rPr>
        <w:t xml:space="preserve"> to concentrate efforts on</w:t>
      </w:r>
      <w:r w:rsidRPr="006E6353">
        <w:rPr>
          <w:rFonts w:cs="MyriadPro-Light"/>
          <w:szCs w:val="24"/>
          <w:lang w:val="en-US"/>
        </w:rPr>
        <w:t xml:space="preserve"> </w:t>
      </w:r>
      <w:r>
        <w:rPr>
          <w:rFonts w:cs="MyriadPro-Light"/>
          <w:szCs w:val="24"/>
          <w:lang w:val="en-US"/>
        </w:rPr>
        <w:t xml:space="preserve">an alternative to formal treaty-making: </w:t>
      </w:r>
      <w:r w:rsidRPr="006E6353">
        <w:rPr>
          <w:rFonts w:cs="MyriadPro-Light"/>
          <w:szCs w:val="24"/>
          <w:lang w:val="en-US"/>
        </w:rPr>
        <w:t>the elaboration of confidence-building measures or codes of cond</w:t>
      </w:r>
      <w:r>
        <w:rPr>
          <w:rFonts w:cs="MyriadPro-Light"/>
          <w:szCs w:val="24"/>
          <w:lang w:val="en-US"/>
        </w:rPr>
        <w:t>uct as normative tools.</w:t>
      </w:r>
      <w:r w:rsidR="00FC69CF">
        <w:rPr>
          <w:rFonts w:cs="MyriadPro-Light"/>
          <w:szCs w:val="24"/>
          <w:lang w:val="en-US"/>
        </w:rPr>
        <w:t xml:space="preserve"> We may be witnessing a turning point in </w:t>
      </w:r>
      <w:proofErr w:type="spellStart"/>
      <w:r w:rsidR="00FC69CF">
        <w:rPr>
          <w:rFonts w:cs="MyriadPro-Light"/>
          <w:szCs w:val="24"/>
          <w:lang w:val="en-US"/>
        </w:rPr>
        <w:t>cybersecurity</w:t>
      </w:r>
      <w:proofErr w:type="spellEnd"/>
      <w:r w:rsidR="00FC69CF">
        <w:rPr>
          <w:rFonts w:cs="MyriadPro-Light"/>
          <w:szCs w:val="24"/>
          <w:lang w:val="en-US"/>
        </w:rPr>
        <w:t xml:space="preserve"> diplomacy.</w:t>
      </w:r>
    </w:p>
    <w:p w:rsidR="00341E54" w:rsidRDefault="00341E54" w:rsidP="006E6353">
      <w:pPr>
        <w:autoSpaceDE w:val="0"/>
        <w:autoSpaceDN w:val="0"/>
        <w:adjustRightInd w:val="0"/>
        <w:spacing w:after="0" w:line="360" w:lineRule="auto"/>
        <w:rPr>
          <w:rFonts w:cs="MyriadPro-Light"/>
          <w:szCs w:val="24"/>
          <w:lang w:val="en-US"/>
        </w:rPr>
      </w:pPr>
    </w:p>
    <w:p w:rsidR="00AE6588" w:rsidRDefault="00341E54" w:rsidP="006E6353">
      <w:pPr>
        <w:autoSpaceDE w:val="0"/>
        <w:autoSpaceDN w:val="0"/>
        <w:adjustRightInd w:val="0"/>
        <w:spacing w:after="0" w:line="360" w:lineRule="auto"/>
        <w:rPr>
          <w:rFonts w:cs="MyriadPro-Light"/>
          <w:szCs w:val="24"/>
          <w:lang w:val="en-US"/>
        </w:rPr>
      </w:pPr>
      <w:r>
        <w:rPr>
          <w:rFonts w:cs="MyriadPro-Light"/>
          <w:szCs w:val="24"/>
          <w:lang w:val="en-US"/>
        </w:rPr>
        <w:t>Both of them</w:t>
      </w:r>
      <w:r w:rsidR="00FC69CF">
        <w:rPr>
          <w:rFonts w:cs="MyriadPro-Light"/>
          <w:szCs w:val="24"/>
          <w:lang w:val="en-US"/>
        </w:rPr>
        <w:t>, CBMs and codes,</w:t>
      </w:r>
      <w:r>
        <w:rPr>
          <w:rFonts w:cs="MyriadPro-Light"/>
          <w:szCs w:val="24"/>
          <w:lang w:val="en-US"/>
        </w:rPr>
        <w:t xml:space="preserve"> ar</w:t>
      </w:r>
      <w:r w:rsidR="00CF7F2C">
        <w:rPr>
          <w:rFonts w:cs="MyriadPro-Light"/>
          <w:szCs w:val="24"/>
          <w:lang w:val="en-US"/>
        </w:rPr>
        <w:t>e time-honored techniques of international diplomacy</w:t>
      </w:r>
      <w:r>
        <w:rPr>
          <w:rFonts w:cs="MyriadPro-Light"/>
          <w:szCs w:val="24"/>
          <w:lang w:val="en-US"/>
        </w:rPr>
        <w:t xml:space="preserve">. Confidence-building measures have been a major focus in reshaping the East-West relationship in the </w:t>
      </w:r>
      <w:r w:rsidR="00E43AB9">
        <w:rPr>
          <w:rFonts w:cs="MyriadPro-Light"/>
          <w:szCs w:val="24"/>
          <w:lang w:val="en-US"/>
        </w:rPr>
        <w:t>CSCE/</w:t>
      </w:r>
      <w:r>
        <w:rPr>
          <w:rFonts w:cs="MyriadPro-Light"/>
          <w:szCs w:val="24"/>
          <w:lang w:val="en-US"/>
        </w:rPr>
        <w:t xml:space="preserve">OSCE and </w:t>
      </w:r>
      <w:r w:rsidR="00FC69CF">
        <w:rPr>
          <w:rFonts w:cs="MyriadPro-Light"/>
          <w:szCs w:val="24"/>
          <w:lang w:val="en-US"/>
        </w:rPr>
        <w:t xml:space="preserve">in </w:t>
      </w:r>
      <w:r>
        <w:rPr>
          <w:rFonts w:cs="MyriadPro-Light"/>
          <w:szCs w:val="24"/>
          <w:lang w:val="en-US"/>
        </w:rPr>
        <w:t xml:space="preserve">military affairs </w:t>
      </w:r>
      <w:r w:rsidR="00E84F9C">
        <w:rPr>
          <w:rFonts w:cs="MyriadPro-Light"/>
          <w:szCs w:val="24"/>
          <w:lang w:val="en-US"/>
        </w:rPr>
        <w:t>elsewhere</w:t>
      </w:r>
      <w:proofErr w:type="gramStart"/>
      <w:r w:rsidR="00E84F9C">
        <w:rPr>
          <w:rFonts w:cs="MyriadPro-Light"/>
          <w:szCs w:val="24"/>
          <w:lang w:val="en-US"/>
        </w:rPr>
        <w:t>,  i</w:t>
      </w:r>
      <w:r w:rsidR="002F5E1F">
        <w:rPr>
          <w:rFonts w:cs="MyriadPro-Light"/>
          <w:szCs w:val="24"/>
          <w:lang w:val="en-US"/>
        </w:rPr>
        <w:t>ncluding</w:t>
      </w:r>
      <w:proofErr w:type="gramEnd"/>
      <w:r w:rsidR="002F5E1F">
        <w:rPr>
          <w:rFonts w:cs="MyriadPro-Light"/>
          <w:szCs w:val="24"/>
          <w:lang w:val="en-US"/>
        </w:rPr>
        <w:t xml:space="preserve"> in the United Nations</w:t>
      </w:r>
      <w:r w:rsidR="00E84F9C">
        <w:rPr>
          <w:rFonts w:cs="MyriadPro-Light"/>
          <w:szCs w:val="24"/>
          <w:lang w:val="en-US"/>
        </w:rPr>
        <w:t xml:space="preserve"> context</w:t>
      </w:r>
      <w:r w:rsidR="002F5E1F">
        <w:rPr>
          <w:rFonts w:cs="MyriadPro-Light"/>
          <w:szCs w:val="24"/>
          <w:lang w:val="en-US"/>
        </w:rPr>
        <w:t xml:space="preserve"> </w:t>
      </w:r>
      <w:r>
        <w:rPr>
          <w:rFonts w:cs="MyriadPro-Light"/>
          <w:szCs w:val="24"/>
          <w:lang w:val="en-US"/>
        </w:rPr>
        <w:t>(taking their method</w:t>
      </w:r>
      <w:r w:rsidR="00EC385B">
        <w:rPr>
          <w:rFonts w:cs="MyriadPro-Light"/>
          <w:szCs w:val="24"/>
          <w:lang w:val="en-US"/>
        </w:rPr>
        <w:t>ological guidance</w:t>
      </w:r>
      <w:r w:rsidR="001342BA">
        <w:rPr>
          <w:rFonts w:cs="MyriadPro-Light"/>
          <w:szCs w:val="24"/>
          <w:lang w:val="en-US"/>
        </w:rPr>
        <w:t xml:space="preserve"> </w:t>
      </w:r>
      <w:r w:rsidR="00FC69CF">
        <w:rPr>
          <w:rFonts w:cs="MyriadPro-Light"/>
          <w:szCs w:val="24"/>
          <w:lang w:val="en-US"/>
        </w:rPr>
        <w:t xml:space="preserve">in particular </w:t>
      </w:r>
      <w:r>
        <w:rPr>
          <w:rFonts w:cs="MyriadPro-Light"/>
          <w:szCs w:val="24"/>
          <w:lang w:val="en-US"/>
        </w:rPr>
        <w:t xml:space="preserve">from the </w:t>
      </w:r>
      <w:r w:rsidR="00E84F9C">
        <w:rPr>
          <w:rFonts w:cs="MyriadPro-Light"/>
          <w:szCs w:val="24"/>
          <w:lang w:val="en-US"/>
        </w:rPr>
        <w:t>outcome of the OSCE process, but also</w:t>
      </w:r>
      <w:r w:rsidR="008B5483">
        <w:rPr>
          <w:rFonts w:cs="MyriadPro-Light"/>
          <w:szCs w:val="24"/>
          <w:lang w:val="en-US"/>
        </w:rPr>
        <w:t xml:space="preserve"> from the </w:t>
      </w:r>
      <w:r>
        <w:rPr>
          <w:rFonts w:cs="MyriadPro-Light"/>
          <w:szCs w:val="24"/>
          <w:lang w:val="en-US"/>
        </w:rPr>
        <w:t xml:space="preserve">Guidelines </w:t>
      </w:r>
      <w:r w:rsidR="004E57C7">
        <w:rPr>
          <w:rFonts w:cs="MyriadPro-Light"/>
          <w:szCs w:val="24"/>
          <w:lang w:val="en-US"/>
        </w:rPr>
        <w:t xml:space="preserve">for </w:t>
      </w:r>
      <w:r>
        <w:rPr>
          <w:rFonts w:cs="MyriadPro-Light"/>
          <w:szCs w:val="24"/>
          <w:lang w:val="en-US"/>
        </w:rPr>
        <w:t>Confidence-</w:t>
      </w:r>
      <w:r w:rsidR="004E57C7">
        <w:rPr>
          <w:rFonts w:cs="MyriadPro-Light"/>
          <w:szCs w:val="24"/>
          <w:lang w:val="en-US"/>
        </w:rPr>
        <w:t xml:space="preserve">Building Measures </w:t>
      </w:r>
      <w:r w:rsidR="004E57C7">
        <w:rPr>
          <w:rFonts w:cs="MyriadPro-Light"/>
          <w:szCs w:val="24"/>
          <w:lang w:val="en-US"/>
        </w:rPr>
        <w:lastRenderedPageBreak/>
        <w:t>adopted by the UN General Assembly in 1986</w:t>
      </w:r>
      <w:r w:rsidR="001552B5">
        <w:rPr>
          <w:rStyle w:val="Refdenotaalpie"/>
          <w:rFonts w:cs="MyriadPro-Light"/>
          <w:szCs w:val="24"/>
          <w:lang w:val="en-US"/>
        </w:rPr>
        <w:footnoteReference w:id="8"/>
      </w:r>
      <w:r w:rsidR="00FC69CF">
        <w:rPr>
          <w:rFonts w:cs="MyriadPro-Light"/>
          <w:szCs w:val="24"/>
          <w:lang w:val="en-US"/>
        </w:rPr>
        <w:t>), and codes of</w:t>
      </w:r>
      <w:r w:rsidR="004E57C7">
        <w:rPr>
          <w:rFonts w:cs="MyriadPro-Light"/>
          <w:szCs w:val="24"/>
          <w:lang w:val="en-US"/>
        </w:rPr>
        <w:t xml:space="preserve"> conduct are constructed in ma</w:t>
      </w:r>
      <w:r w:rsidR="00541480">
        <w:rPr>
          <w:rFonts w:cs="MyriadPro-Light"/>
          <w:szCs w:val="24"/>
          <w:lang w:val="en-US"/>
        </w:rPr>
        <w:t>n</w:t>
      </w:r>
      <w:r w:rsidR="004E57C7">
        <w:rPr>
          <w:rFonts w:cs="MyriadPro-Light"/>
          <w:szCs w:val="24"/>
          <w:lang w:val="en-US"/>
        </w:rPr>
        <w:t xml:space="preserve">y </w:t>
      </w:r>
      <w:r w:rsidR="001342BA">
        <w:rPr>
          <w:rFonts w:cs="MyriadPro-Light"/>
          <w:szCs w:val="24"/>
          <w:lang w:val="en-US"/>
        </w:rPr>
        <w:t xml:space="preserve">other </w:t>
      </w:r>
      <w:r w:rsidR="004E57C7">
        <w:rPr>
          <w:rFonts w:cs="MyriadPro-Light"/>
          <w:szCs w:val="24"/>
          <w:lang w:val="en-US"/>
        </w:rPr>
        <w:t>areas of the social environment including the private sector. In the UN, there have been negotiations on a code of conduct for the transfer of technology, and a code of conduct of behavior in Outer Space is presently in process</w:t>
      </w:r>
      <w:r w:rsidR="00E862A2">
        <w:rPr>
          <w:rStyle w:val="Refdenotaalpie"/>
          <w:rFonts w:cs="MyriadPro-Light"/>
          <w:szCs w:val="24"/>
          <w:lang w:val="en-US"/>
        </w:rPr>
        <w:footnoteReference w:id="9"/>
      </w:r>
      <w:r w:rsidR="004E57C7">
        <w:rPr>
          <w:rFonts w:cs="MyriadPro-Light"/>
          <w:szCs w:val="24"/>
          <w:lang w:val="en-US"/>
        </w:rPr>
        <w:t xml:space="preserve">. In our context, the two methods are frequently mentioned together, and indeed, they may be somewhat interchangeable:  both </w:t>
      </w:r>
      <w:r w:rsidR="00C35AD8">
        <w:rPr>
          <w:rFonts w:cs="MyriadPro-Light"/>
          <w:szCs w:val="24"/>
          <w:lang w:val="en-US"/>
        </w:rPr>
        <w:t>aim at regula</w:t>
      </w:r>
      <w:r w:rsidR="00FC69CF">
        <w:rPr>
          <w:rFonts w:cs="MyriadPro-Light"/>
          <w:szCs w:val="24"/>
          <w:lang w:val="en-US"/>
        </w:rPr>
        <w:t>ting behavior;</w:t>
      </w:r>
      <w:r w:rsidR="00C35AD8">
        <w:rPr>
          <w:rFonts w:cs="MyriadPro-Light"/>
          <w:szCs w:val="24"/>
          <w:lang w:val="en-US"/>
        </w:rPr>
        <w:t xml:space="preserve"> CBMs look more to the intended result, the term code of conduct</w:t>
      </w:r>
      <w:r w:rsidR="00AE6588">
        <w:rPr>
          <w:rFonts w:cs="MyriadPro-Light"/>
          <w:szCs w:val="24"/>
          <w:lang w:val="en-US"/>
        </w:rPr>
        <w:t xml:space="preserve"> </w:t>
      </w:r>
      <w:r w:rsidR="00C35AD8">
        <w:rPr>
          <w:rFonts w:cs="MyriadPro-Light"/>
          <w:szCs w:val="24"/>
          <w:lang w:val="en-US"/>
        </w:rPr>
        <w:t>reflects the notion that a</w:t>
      </w:r>
      <w:r w:rsidR="00F74496">
        <w:rPr>
          <w:rFonts w:cs="MyriadPro-Light"/>
          <w:szCs w:val="24"/>
          <w:lang w:val="en-US"/>
        </w:rPr>
        <w:t>n</w:t>
      </w:r>
      <w:r w:rsidR="00C35AD8">
        <w:rPr>
          <w:rFonts w:cs="MyriadPro-Light"/>
          <w:szCs w:val="24"/>
          <w:lang w:val="en-US"/>
        </w:rPr>
        <w:t xml:space="preserve"> ample, coherent body of norms is </w:t>
      </w:r>
      <w:r w:rsidR="00541480">
        <w:rPr>
          <w:rFonts w:cs="MyriadPro-Light"/>
          <w:szCs w:val="24"/>
          <w:lang w:val="en-US"/>
        </w:rPr>
        <w:t>being negotiated</w:t>
      </w:r>
      <w:r w:rsidR="002F5E1F">
        <w:rPr>
          <w:rStyle w:val="Refdenotaalpie"/>
          <w:rFonts w:cs="MyriadPro-Light"/>
          <w:szCs w:val="24"/>
          <w:lang w:val="en-US"/>
        </w:rPr>
        <w:footnoteReference w:id="10"/>
      </w:r>
      <w:r w:rsidR="00541480">
        <w:rPr>
          <w:rFonts w:cs="MyriadPro-Light"/>
          <w:szCs w:val="24"/>
          <w:lang w:val="en-US"/>
        </w:rPr>
        <w:t>.</w:t>
      </w:r>
    </w:p>
    <w:p w:rsidR="00541480" w:rsidRDefault="00541480" w:rsidP="006E6353">
      <w:pPr>
        <w:autoSpaceDE w:val="0"/>
        <w:autoSpaceDN w:val="0"/>
        <w:adjustRightInd w:val="0"/>
        <w:spacing w:after="0" w:line="360" w:lineRule="auto"/>
        <w:rPr>
          <w:rFonts w:cs="MyriadPro-Light"/>
          <w:szCs w:val="24"/>
          <w:lang w:val="en-US"/>
        </w:rPr>
      </w:pPr>
    </w:p>
    <w:p w:rsidR="00541480" w:rsidRDefault="00541480" w:rsidP="006E6353">
      <w:pPr>
        <w:autoSpaceDE w:val="0"/>
        <w:autoSpaceDN w:val="0"/>
        <w:adjustRightInd w:val="0"/>
        <w:spacing w:after="0" w:line="360" w:lineRule="auto"/>
        <w:rPr>
          <w:rFonts w:cs="MyriadPro-Light"/>
          <w:szCs w:val="24"/>
          <w:lang w:val="en-US"/>
        </w:rPr>
      </w:pPr>
      <w:r>
        <w:rPr>
          <w:rFonts w:cs="MyriadPro-Light"/>
          <w:szCs w:val="24"/>
          <w:lang w:val="en-US"/>
        </w:rPr>
        <w:t xml:space="preserve">The prevailing view is now that CBMs open a window of opportunity to make real progress towards common definitions and behavioral standards. CBMs </w:t>
      </w:r>
      <w:r w:rsidR="00FC69CF">
        <w:rPr>
          <w:rFonts w:cs="MyriadPro-Light"/>
          <w:szCs w:val="24"/>
          <w:lang w:val="en-US"/>
        </w:rPr>
        <w:t xml:space="preserve">have the potential to </w:t>
      </w:r>
      <w:r>
        <w:rPr>
          <w:rFonts w:cs="MyriadPro-Light"/>
          <w:szCs w:val="24"/>
          <w:lang w:val="en-US"/>
        </w:rPr>
        <w:t xml:space="preserve">reduce threat, enhance transparency, make State behavior predictable, are flexible, voluntary, </w:t>
      </w:r>
      <w:r w:rsidR="001342BA">
        <w:rPr>
          <w:rFonts w:cs="MyriadPro-Light"/>
          <w:szCs w:val="24"/>
          <w:lang w:val="en-US"/>
        </w:rPr>
        <w:t>and offer</w:t>
      </w:r>
      <w:r w:rsidR="001030EF">
        <w:rPr>
          <w:rFonts w:cs="MyriadPro-Light"/>
          <w:szCs w:val="24"/>
          <w:lang w:val="en-US"/>
        </w:rPr>
        <w:t xml:space="preserve"> </w:t>
      </w:r>
      <w:r>
        <w:rPr>
          <w:rFonts w:cs="MyriadPro-Light"/>
          <w:szCs w:val="24"/>
          <w:lang w:val="en-US"/>
        </w:rPr>
        <w:t>a variable geometry</w:t>
      </w:r>
      <w:r w:rsidR="001342BA">
        <w:rPr>
          <w:rFonts w:cs="MyriadPro-Light"/>
          <w:szCs w:val="24"/>
          <w:lang w:val="en-US"/>
        </w:rPr>
        <w:t xml:space="preserve"> in terms of participants</w:t>
      </w:r>
      <w:r w:rsidR="001030EF">
        <w:rPr>
          <w:rFonts w:cs="MyriadPro-Light"/>
          <w:szCs w:val="24"/>
          <w:lang w:val="en-US"/>
        </w:rPr>
        <w:t xml:space="preserve"> – it is possible to include non-State actors -</w:t>
      </w:r>
      <w:r w:rsidR="001342BA">
        <w:rPr>
          <w:rFonts w:cs="MyriadPro-Light"/>
          <w:szCs w:val="24"/>
          <w:lang w:val="en-US"/>
        </w:rPr>
        <w:t xml:space="preserve"> and follow-up</w:t>
      </w:r>
      <w:r>
        <w:rPr>
          <w:rFonts w:cs="MyriadPro-Light"/>
          <w:szCs w:val="24"/>
          <w:lang w:val="en-US"/>
        </w:rPr>
        <w:t>: cont</w:t>
      </w:r>
      <w:r w:rsidR="001342BA">
        <w:rPr>
          <w:rFonts w:cs="MyriadPro-Light"/>
          <w:szCs w:val="24"/>
          <w:lang w:val="en-US"/>
        </w:rPr>
        <w:t>rary to coherent treaty-making,</w:t>
      </w:r>
      <w:r>
        <w:rPr>
          <w:rFonts w:cs="MyriadPro-Light"/>
          <w:szCs w:val="24"/>
          <w:lang w:val="en-US"/>
        </w:rPr>
        <w:t xml:space="preserve"> </w:t>
      </w:r>
      <w:r w:rsidR="00FC69CF">
        <w:rPr>
          <w:rFonts w:cs="MyriadPro-Light"/>
          <w:szCs w:val="24"/>
          <w:lang w:val="en-US"/>
        </w:rPr>
        <w:t>participants are free to adopt partial solutions and enact them without delay</w:t>
      </w:r>
      <w:r w:rsidR="00E43AB9">
        <w:rPr>
          <w:rFonts w:cs="MyriadPro-Light"/>
          <w:szCs w:val="24"/>
          <w:lang w:val="en-US"/>
        </w:rPr>
        <w:t xml:space="preserve"> </w:t>
      </w:r>
      <w:r w:rsidR="00FC69CF">
        <w:rPr>
          <w:rFonts w:cs="MyriadPro-Light"/>
          <w:szCs w:val="24"/>
          <w:lang w:val="en-US"/>
        </w:rPr>
        <w:t>and independently</w:t>
      </w:r>
      <w:r w:rsidR="001342BA">
        <w:rPr>
          <w:rFonts w:cs="MyriadPro-Light"/>
          <w:szCs w:val="24"/>
          <w:lang w:val="en-US"/>
        </w:rPr>
        <w:t xml:space="preserve"> or with other like-minded stake-holders</w:t>
      </w:r>
      <w:r w:rsidR="00FC69CF">
        <w:rPr>
          <w:rFonts w:cs="MyriadPro-Light"/>
          <w:szCs w:val="24"/>
          <w:lang w:val="en-US"/>
        </w:rPr>
        <w:t xml:space="preserve">. CBMs which States embrace do not require ratification; they invite emulation, and are at most </w:t>
      </w:r>
      <w:r w:rsidR="00AB5F5F">
        <w:rPr>
          <w:rFonts w:cs="MyriadPro-Light"/>
          <w:szCs w:val="24"/>
          <w:lang w:val="en-US"/>
        </w:rPr>
        <w:t xml:space="preserve">– and at best - </w:t>
      </w:r>
      <w:r w:rsidR="00FC69CF">
        <w:rPr>
          <w:rFonts w:cs="MyriadPro-Light"/>
          <w:szCs w:val="24"/>
          <w:lang w:val="en-US"/>
        </w:rPr>
        <w:t>politically binding. They are thus uniquely suited to foment internati</w:t>
      </w:r>
      <w:r w:rsidR="00AB5F5F">
        <w:rPr>
          <w:rFonts w:cs="MyriadPro-Light"/>
          <w:szCs w:val="24"/>
          <w:lang w:val="en-US"/>
        </w:rPr>
        <w:t>onal consensus-</w:t>
      </w:r>
      <w:r w:rsidR="00FC69CF">
        <w:rPr>
          <w:rFonts w:cs="MyriadPro-Light"/>
          <w:szCs w:val="24"/>
          <w:lang w:val="en-US"/>
        </w:rPr>
        <w:t xml:space="preserve">building on an evolutionary scale. A well negotiated package of CBMs with a critical mass of participants may set in motion a process of further incremental change and heightened sensitivity. </w:t>
      </w:r>
      <w:r w:rsidR="00AC5A58">
        <w:rPr>
          <w:rFonts w:cs="MyriadPro-Light"/>
          <w:szCs w:val="24"/>
          <w:lang w:val="en-US"/>
        </w:rPr>
        <w:t>Clarification of behavioral standards may provide an incentiv</w:t>
      </w:r>
      <w:r w:rsidR="001342BA">
        <w:rPr>
          <w:rFonts w:cs="MyriadPro-Light"/>
          <w:szCs w:val="24"/>
          <w:lang w:val="en-US"/>
        </w:rPr>
        <w:t>e for</w:t>
      </w:r>
      <w:r w:rsidR="00AC5A58">
        <w:rPr>
          <w:rFonts w:cs="MyriadPro-Light"/>
          <w:szCs w:val="24"/>
          <w:lang w:val="en-US"/>
        </w:rPr>
        <w:t xml:space="preserve"> going for more. </w:t>
      </w:r>
    </w:p>
    <w:p w:rsidR="00AC5A58" w:rsidRDefault="00AC5A58" w:rsidP="006E6353">
      <w:pPr>
        <w:autoSpaceDE w:val="0"/>
        <w:autoSpaceDN w:val="0"/>
        <w:adjustRightInd w:val="0"/>
        <w:spacing w:after="0" w:line="360" w:lineRule="auto"/>
        <w:rPr>
          <w:rFonts w:cs="MyriadPro-Light"/>
          <w:szCs w:val="24"/>
          <w:lang w:val="en-US"/>
        </w:rPr>
      </w:pPr>
    </w:p>
    <w:p w:rsidR="00AC5A58" w:rsidRDefault="00CA551C" w:rsidP="006E6353">
      <w:pPr>
        <w:autoSpaceDE w:val="0"/>
        <w:autoSpaceDN w:val="0"/>
        <w:adjustRightInd w:val="0"/>
        <w:spacing w:after="0" w:line="360" w:lineRule="auto"/>
        <w:rPr>
          <w:rFonts w:cs="MyriadPro-Light"/>
          <w:szCs w:val="24"/>
          <w:lang w:val="en-US"/>
        </w:rPr>
      </w:pPr>
      <w:r>
        <w:rPr>
          <w:rFonts w:cs="MyriadPro-Light"/>
          <w:szCs w:val="24"/>
          <w:lang w:val="en-US"/>
        </w:rPr>
        <w:lastRenderedPageBreak/>
        <w:t xml:space="preserve">One catalyst for this new campaign may well have been the terse </w:t>
      </w:r>
      <w:r w:rsidR="00AB0CBE">
        <w:rPr>
          <w:rFonts w:cs="MyriadPro-Light"/>
          <w:szCs w:val="24"/>
          <w:lang w:val="en-US"/>
        </w:rPr>
        <w:t>report of the second UN</w:t>
      </w:r>
      <w:r w:rsidR="00642483">
        <w:rPr>
          <w:rFonts w:cs="MyriadPro-Light"/>
          <w:szCs w:val="24"/>
          <w:lang w:val="en-US"/>
        </w:rPr>
        <w:t xml:space="preserve"> Group of Governmental Experts</w:t>
      </w:r>
      <w:r w:rsidR="00B73735">
        <w:rPr>
          <w:rFonts w:cs="MyriadPro-Light"/>
          <w:szCs w:val="24"/>
          <w:lang w:val="en-US"/>
        </w:rPr>
        <w:t xml:space="preserve"> 2010</w:t>
      </w:r>
      <w:r w:rsidR="00642483">
        <w:rPr>
          <w:rStyle w:val="Refdenotaalpie"/>
          <w:rFonts w:cs="MyriadPro-Light"/>
          <w:szCs w:val="24"/>
          <w:lang w:val="en-US"/>
        </w:rPr>
        <w:footnoteReference w:id="11"/>
      </w:r>
      <w:r w:rsidR="00AB0CBE">
        <w:rPr>
          <w:rFonts w:cs="MyriadPro-Light"/>
          <w:szCs w:val="24"/>
          <w:lang w:val="en-US"/>
        </w:rPr>
        <w:t xml:space="preserve"> (the first having ended inconclusively) recommending further international discussion on norms, confidence-building, stability and risk reduction measures. </w:t>
      </w:r>
      <w:r w:rsidR="005150E0">
        <w:rPr>
          <w:rFonts w:cs="MyriadPro-Light"/>
          <w:szCs w:val="24"/>
          <w:lang w:val="en-US"/>
        </w:rPr>
        <w:t xml:space="preserve">A natural result was the convocation of a third GGE, this time with the concrete mandate to define “cooperative measures </w:t>
      </w:r>
      <w:proofErr w:type="gramStart"/>
      <w:r w:rsidR="005150E0">
        <w:rPr>
          <w:rFonts w:cs="MyriadPro-Light"/>
          <w:szCs w:val="24"/>
          <w:lang w:val="en-US"/>
        </w:rPr>
        <w:t>. .</w:t>
      </w:r>
      <w:proofErr w:type="gramEnd"/>
      <w:r w:rsidR="005150E0">
        <w:rPr>
          <w:rFonts w:cs="MyriadPro-Light"/>
          <w:szCs w:val="24"/>
          <w:lang w:val="en-US"/>
        </w:rPr>
        <w:t xml:space="preserve"> </w:t>
      </w:r>
      <w:proofErr w:type="gramStart"/>
      <w:r w:rsidR="005150E0">
        <w:rPr>
          <w:rFonts w:cs="MyriadPro-Light"/>
          <w:szCs w:val="24"/>
          <w:lang w:val="en-US"/>
        </w:rPr>
        <w:t>including</w:t>
      </w:r>
      <w:proofErr w:type="gramEnd"/>
      <w:r w:rsidR="005150E0">
        <w:rPr>
          <w:rFonts w:cs="MyriadPro-Light"/>
          <w:szCs w:val="24"/>
          <w:lang w:val="en-US"/>
        </w:rPr>
        <w:t xml:space="preserve"> norms, rules of principles of responsible</w:t>
      </w:r>
      <w:r w:rsidR="00E84F9C">
        <w:rPr>
          <w:rFonts w:cs="MyriadPro-Light"/>
          <w:szCs w:val="24"/>
          <w:lang w:val="en-US"/>
        </w:rPr>
        <w:t xml:space="preserve"> </w:t>
      </w:r>
      <w:proofErr w:type="spellStart"/>
      <w:r w:rsidR="00E84F9C">
        <w:rPr>
          <w:rFonts w:cs="MyriadPro-Light"/>
          <w:szCs w:val="24"/>
          <w:lang w:val="en-US"/>
        </w:rPr>
        <w:t>behavio</w:t>
      </w:r>
      <w:r w:rsidR="00011B2E">
        <w:rPr>
          <w:rFonts w:cs="MyriadPro-Light"/>
          <w:szCs w:val="24"/>
          <w:lang w:val="en-US"/>
        </w:rPr>
        <w:t>u</w:t>
      </w:r>
      <w:r w:rsidR="00234BB2">
        <w:rPr>
          <w:rFonts w:cs="MyriadPro-Light"/>
          <w:szCs w:val="24"/>
          <w:lang w:val="en-US"/>
        </w:rPr>
        <w:t>r</w:t>
      </w:r>
      <w:proofErr w:type="spellEnd"/>
      <w:r w:rsidR="00234BB2">
        <w:rPr>
          <w:rFonts w:cs="MyriadPro-Light"/>
          <w:szCs w:val="24"/>
          <w:lang w:val="en-US"/>
        </w:rPr>
        <w:t xml:space="preserve"> </w:t>
      </w:r>
      <w:r w:rsidR="005150E0">
        <w:rPr>
          <w:rFonts w:cs="MyriadPro-Light"/>
          <w:szCs w:val="24"/>
          <w:lang w:val="en-US"/>
        </w:rPr>
        <w:t>of States and confidence-building measures with regard to information space”</w:t>
      </w:r>
      <w:r w:rsidR="00642483">
        <w:rPr>
          <w:rStyle w:val="Refdenotaalpie"/>
          <w:rFonts w:cs="MyriadPro-Light"/>
          <w:szCs w:val="24"/>
          <w:lang w:val="en-US"/>
        </w:rPr>
        <w:footnoteReference w:id="12"/>
      </w:r>
      <w:r w:rsidR="005150E0">
        <w:rPr>
          <w:rFonts w:cs="MyriadPro-Light"/>
          <w:szCs w:val="24"/>
          <w:lang w:val="en-US"/>
        </w:rPr>
        <w:t xml:space="preserve">. The Group will </w:t>
      </w:r>
      <w:r w:rsidR="000D125C">
        <w:rPr>
          <w:rFonts w:cs="MyriadPro-Light"/>
          <w:szCs w:val="24"/>
          <w:lang w:val="en-US"/>
        </w:rPr>
        <w:t>convene in August,</w:t>
      </w:r>
      <w:r w:rsidR="00642483">
        <w:rPr>
          <w:rFonts w:cs="MyriadPro-Light"/>
          <w:szCs w:val="24"/>
          <w:lang w:val="en-US"/>
        </w:rPr>
        <w:t xml:space="preserve"> coinciding in time with this Seminar</w:t>
      </w:r>
      <w:r w:rsidR="00FA4C91">
        <w:rPr>
          <w:rFonts w:cs="MyriadPro-Light"/>
          <w:szCs w:val="24"/>
          <w:lang w:val="en-US"/>
        </w:rPr>
        <w:t>, under the presidency of an Austr</w:t>
      </w:r>
      <w:r w:rsidR="00642483">
        <w:rPr>
          <w:rFonts w:cs="MyriadPro-Light"/>
          <w:szCs w:val="24"/>
          <w:lang w:val="en-US"/>
        </w:rPr>
        <w:t>a</w:t>
      </w:r>
      <w:r w:rsidR="00FA4C91">
        <w:rPr>
          <w:rFonts w:cs="MyriadPro-Light"/>
          <w:szCs w:val="24"/>
          <w:lang w:val="en-US"/>
        </w:rPr>
        <w:t>lian diplomat</w:t>
      </w:r>
      <w:r w:rsidR="002A7793">
        <w:rPr>
          <w:rFonts w:cs="MyriadPro-Light"/>
          <w:szCs w:val="24"/>
          <w:lang w:val="en-US"/>
        </w:rPr>
        <w:t>. Governments have provided numerous input</w:t>
      </w:r>
      <w:r w:rsidR="00FA4C91">
        <w:rPr>
          <w:rFonts w:cs="MyriadPro-Light"/>
          <w:szCs w:val="24"/>
          <w:lang w:val="en-US"/>
        </w:rPr>
        <w:t>s</w:t>
      </w:r>
      <w:r w:rsidR="002A7793">
        <w:rPr>
          <w:rFonts w:cs="MyriadPro-Light"/>
          <w:szCs w:val="24"/>
          <w:lang w:val="en-US"/>
        </w:rPr>
        <w:t xml:space="preserve"> to the Group at the request of the UN Secretary General</w:t>
      </w:r>
      <w:r w:rsidR="00704573">
        <w:rPr>
          <w:rStyle w:val="Refdenotaalpie"/>
          <w:rFonts w:cs="MyriadPro-Light"/>
          <w:szCs w:val="24"/>
          <w:lang w:val="en-US"/>
        </w:rPr>
        <w:footnoteReference w:id="13"/>
      </w:r>
      <w:r w:rsidR="002A7793">
        <w:rPr>
          <w:rFonts w:cs="MyriadPro-Light"/>
          <w:szCs w:val="24"/>
          <w:lang w:val="en-US"/>
        </w:rPr>
        <w:t>. Their views have strongly supported the idea of ident</w:t>
      </w:r>
      <w:r w:rsidR="001F465D">
        <w:rPr>
          <w:rFonts w:cs="MyriadPro-Light"/>
          <w:szCs w:val="24"/>
          <w:lang w:val="en-US"/>
        </w:rPr>
        <w:t>ifying CBMs. In a short time, flurries</w:t>
      </w:r>
      <w:r w:rsidR="002A7793">
        <w:rPr>
          <w:rFonts w:cs="MyriadPro-Light"/>
          <w:szCs w:val="24"/>
          <w:lang w:val="en-US"/>
        </w:rPr>
        <w:t xml:space="preserve"> of other national statements to the same effect have surfaced: </w:t>
      </w:r>
      <w:r w:rsidR="00B31ACE">
        <w:rPr>
          <w:rFonts w:cs="MyriadPro-Light"/>
          <w:szCs w:val="24"/>
          <w:lang w:val="en-US"/>
        </w:rPr>
        <w:t xml:space="preserve">from </w:t>
      </w:r>
      <w:r w:rsidR="002A7793">
        <w:rPr>
          <w:rFonts w:cs="MyriadPro-Light"/>
          <w:szCs w:val="24"/>
          <w:lang w:val="en-US"/>
        </w:rPr>
        <w:t>Australia, the UK, Germany, at least by implication the US, among others</w:t>
      </w:r>
      <w:r w:rsidR="00704573">
        <w:rPr>
          <w:rStyle w:val="Refdenotaalpie"/>
          <w:rFonts w:cs="MyriadPro-Light"/>
          <w:szCs w:val="24"/>
          <w:lang w:val="en-US"/>
        </w:rPr>
        <w:footnoteReference w:id="14"/>
      </w:r>
      <w:r w:rsidR="002A7793">
        <w:rPr>
          <w:rFonts w:cs="MyriadPro-Light"/>
          <w:szCs w:val="24"/>
          <w:lang w:val="en-US"/>
        </w:rPr>
        <w:t xml:space="preserve">. </w:t>
      </w:r>
      <w:r w:rsidR="005E2E29">
        <w:rPr>
          <w:rFonts w:cs="MyriadPro-Light"/>
          <w:szCs w:val="24"/>
          <w:lang w:val="en-US"/>
        </w:rPr>
        <w:t>An authoritative academic voice from India has joined the concert</w:t>
      </w:r>
      <w:r w:rsidR="00CD64B8">
        <w:rPr>
          <w:rStyle w:val="Refdenotaalpie"/>
          <w:rFonts w:cs="MyriadPro-Light"/>
          <w:szCs w:val="24"/>
          <w:lang w:val="en-US"/>
        </w:rPr>
        <w:footnoteReference w:id="15"/>
      </w:r>
      <w:r w:rsidR="005E2E29">
        <w:rPr>
          <w:rFonts w:cs="MyriadPro-Light"/>
          <w:szCs w:val="24"/>
          <w:lang w:val="en-US"/>
        </w:rPr>
        <w:t xml:space="preserve">. </w:t>
      </w:r>
      <w:r w:rsidR="002A7793">
        <w:rPr>
          <w:rFonts w:cs="MyriadPro-Light"/>
          <w:szCs w:val="24"/>
          <w:lang w:val="en-US"/>
        </w:rPr>
        <w:t>China, Russia, Tajikistan and Uzbekistan, reflecting work within the Shanghai Cooperation Council, submitted to the UN Secretary General</w:t>
      </w:r>
      <w:r w:rsidR="005E2E29">
        <w:rPr>
          <w:rFonts w:cs="MyriadPro-Light"/>
          <w:szCs w:val="24"/>
          <w:lang w:val="en-US"/>
        </w:rPr>
        <w:t>,</w:t>
      </w:r>
      <w:r w:rsidR="002A7793">
        <w:rPr>
          <w:rFonts w:cs="MyriadPro-Light"/>
          <w:szCs w:val="24"/>
          <w:lang w:val="en-US"/>
        </w:rPr>
        <w:t xml:space="preserve"> in September 2011, a draft international code of conduct </w:t>
      </w:r>
      <w:r w:rsidR="005E2E29">
        <w:rPr>
          <w:rFonts w:cs="MyriadPro-Light"/>
          <w:szCs w:val="24"/>
          <w:lang w:val="en-US"/>
        </w:rPr>
        <w:t>for information security</w:t>
      </w:r>
      <w:r w:rsidR="00015D11">
        <w:rPr>
          <w:rStyle w:val="Refdenotaalpie"/>
          <w:rFonts w:cs="MyriadPro-Light"/>
          <w:szCs w:val="24"/>
          <w:lang w:val="en-US"/>
        </w:rPr>
        <w:footnoteReference w:id="16"/>
      </w:r>
      <w:r w:rsidR="005E2E29">
        <w:rPr>
          <w:rFonts w:cs="MyriadPro-Light"/>
          <w:szCs w:val="24"/>
          <w:lang w:val="en-US"/>
        </w:rPr>
        <w:t xml:space="preserve">. Although the document, by virtue of its </w:t>
      </w:r>
      <w:r w:rsidR="008E2C4B">
        <w:rPr>
          <w:rFonts w:cs="MyriadPro-Light"/>
          <w:szCs w:val="24"/>
          <w:lang w:val="en-US"/>
        </w:rPr>
        <w:t xml:space="preserve">choice of </w:t>
      </w:r>
      <w:r w:rsidR="005E2E29">
        <w:rPr>
          <w:rFonts w:cs="MyriadPro-Light"/>
          <w:szCs w:val="24"/>
          <w:lang w:val="en-US"/>
        </w:rPr>
        <w:t>authors, did not seem to display a sufficient flavor of political correctness, the cata</w:t>
      </w:r>
      <w:r w:rsidR="00B31ACE">
        <w:rPr>
          <w:rFonts w:cs="MyriadPro-Light"/>
          <w:szCs w:val="24"/>
          <w:lang w:val="en-US"/>
        </w:rPr>
        <w:t>logue of commitments, offered for</w:t>
      </w:r>
      <w:r w:rsidR="005E2E29">
        <w:rPr>
          <w:rFonts w:cs="MyriadPro-Light"/>
          <w:szCs w:val="24"/>
          <w:lang w:val="en-US"/>
        </w:rPr>
        <w:t xml:space="preserve"> voluntary subscription by States, should not be disdained. In the meantime, member countries have organized prestigious international co</w:t>
      </w:r>
      <w:r w:rsidR="005820D4">
        <w:rPr>
          <w:rFonts w:cs="MyriadPro-Light"/>
          <w:szCs w:val="24"/>
          <w:lang w:val="en-US"/>
        </w:rPr>
        <w:t>nference</w:t>
      </w:r>
      <w:r w:rsidR="00951DF1">
        <w:rPr>
          <w:rFonts w:cs="MyriadPro-Light"/>
          <w:szCs w:val="24"/>
          <w:lang w:val="en-US"/>
        </w:rPr>
        <w:t>s</w:t>
      </w:r>
      <w:r w:rsidR="005820D4">
        <w:rPr>
          <w:rFonts w:cs="MyriadPro-Light"/>
          <w:szCs w:val="24"/>
          <w:lang w:val="en-US"/>
        </w:rPr>
        <w:t>, where the CBM idea has been</w:t>
      </w:r>
      <w:r w:rsidR="005E2E29">
        <w:rPr>
          <w:rFonts w:cs="MyriadPro-Light"/>
          <w:szCs w:val="24"/>
          <w:lang w:val="en-US"/>
        </w:rPr>
        <w:t xml:space="preserve"> ventilated</w:t>
      </w:r>
      <w:r w:rsidR="00951DF1">
        <w:rPr>
          <w:rFonts w:cs="MyriadPro-Light"/>
          <w:szCs w:val="24"/>
          <w:lang w:val="en-US"/>
        </w:rPr>
        <w:t>,</w:t>
      </w:r>
      <w:r w:rsidR="005E2E29">
        <w:rPr>
          <w:rFonts w:cs="MyriadPro-Light"/>
          <w:szCs w:val="24"/>
          <w:lang w:val="en-US"/>
        </w:rPr>
        <w:t xml:space="preserve"> and more or less detailed </w:t>
      </w:r>
      <w:r w:rsidR="005E2E29">
        <w:rPr>
          <w:rFonts w:cs="MyriadPro-Light"/>
          <w:szCs w:val="24"/>
          <w:lang w:val="en-US"/>
        </w:rPr>
        <w:lastRenderedPageBreak/>
        <w:t>catalogues of CBM contents</w:t>
      </w:r>
      <w:r w:rsidR="005820D4">
        <w:rPr>
          <w:rFonts w:cs="MyriadPro-Light"/>
          <w:szCs w:val="24"/>
          <w:lang w:val="en-US"/>
        </w:rPr>
        <w:t xml:space="preserve"> have </w:t>
      </w:r>
      <w:r w:rsidR="005E2E29">
        <w:rPr>
          <w:rFonts w:cs="MyriadPro-Light"/>
          <w:szCs w:val="24"/>
          <w:lang w:val="en-US"/>
        </w:rPr>
        <w:t>figured in the Conference summaries (London</w:t>
      </w:r>
      <w:r w:rsidR="003D049D">
        <w:rPr>
          <w:rStyle w:val="Refdenotaalpie"/>
          <w:rFonts w:cs="MyriadPro-Light"/>
          <w:szCs w:val="24"/>
          <w:lang w:val="en-US"/>
        </w:rPr>
        <w:footnoteReference w:id="17"/>
      </w:r>
      <w:r w:rsidR="005E2E29">
        <w:rPr>
          <w:rFonts w:cs="MyriadPro-Light"/>
          <w:szCs w:val="24"/>
          <w:lang w:val="en-US"/>
        </w:rPr>
        <w:t>, Berlin</w:t>
      </w:r>
      <w:r w:rsidR="00951DF1">
        <w:rPr>
          <w:rStyle w:val="Refdenotaalpie"/>
          <w:rFonts w:cs="MyriadPro-Light"/>
          <w:szCs w:val="24"/>
          <w:lang w:val="en-US"/>
        </w:rPr>
        <w:footnoteReference w:id="18"/>
      </w:r>
      <w:r w:rsidR="005E2E29">
        <w:rPr>
          <w:rFonts w:cs="MyriadPro-Light"/>
          <w:szCs w:val="24"/>
          <w:lang w:val="en-US"/>
        </w:rPr>
        <w:t>, Beijing,</w:t>
      </w:r>
      <w:r w:rsidR="00B73735">
        <w:rPr>
          <w:rFonts w:cs="MyriadPro-Light"/>
          <w:szCs w:val="24"/>
          <w:lang w:val="en-US"/>
        </w:rPr>
        <w:t xml:space="preserve"> </w:t>
      </w:r>
      <w:proofErr w:type="spellStart"/>
      <w:r w:rsidR="005820D4">
        <w:rPr>
          <w:rFonts w:cs="MyriadPro-Light"/>
          <w:szCs w:val="24"/>
          <w:lang w:val="en-US"/>
        </w:rPr>
        <w:t>Viena</w:t>
      </w:r>
      <w:proofErr w:type="spellEnd"/>
      <w:r w:rsidR="00951DF1">
        <w:rPr>
          <w:rStyle w:val="Refdenotaalpie"/>
          <w:rFonts w:cs="MyriadPro-Light"/>
          <w:szCs w:val="24"/>
          <w:lang w:val="en-US"/>
        </w:rPr>
        <w:footnoteReference w:id="19"/>
      </w:r>
      <w:r w:rsidR="00951DF1">
        <w:rPr>
          <w:rFonts w:cs="MyriadPro-Light"/>
          <w:szCs w:val="24"/>
          <w:lang w:val="en-US"/>
        </w:rPr>
        <w:t xml:space="preserve">, </w:t>
      </w:r>
      <w:r w:rsidR="00CE1351">
        <w:rPr>
          <w:rFonts w:cs="MyriadPro-Light"/>
          <w:szCs w:val="24"/>
          <w:lang w:val="en-US"/>
        </w:rPr>
        <w:t>with other conferences</w:t>
      </w:r>
      <w:r w:rsidR="005E2E29">
        <w:rPr>
          <w:rFonts w:cs="MyriadPro-Light"/>
          <w:szCs w:val="24"/>
          <w:lang w:val="en-US"/>
        </w:rPr>
        <w:t xml:space="preserve"> fort</w:t>
      </w:r>
      <w:r w:rsidR="00EB4E80">
        <w:rPr>
          <w:rFonts w:cs="MyriadPro-Light"/>
          <w:szCs w:val="24"/>
          <w:lang w:val="en-US"/>
        </w:rPr>
        <w:t xml:space="preserve">hcoming in Budapest </w:t>
      </w:r>
      <w:r w:rsidR="00273F00">
        <w:rPr>
          <w:rFonts w:cs="MyriadPro-Light"/>
          <w:szCs w:val="24"/>
          <w:lang w:val="en-US"/>
        </w:rPr>
        <w:t xml:space="preserve">in </w:t>
      </w:r>
      <w:r w:rsidR="00EB4E80">
        <w:rPr>
          <w:rFonts w:cs="MyriadPro-Light"/>
          <w:szCs w:val="24"/>
          <w:lang w:val="en-US"/>
        </w:rPr>
        <w:t xml:space="preserve">October 2012 and South Korea </w:t>
      </w:r>
      <w:r w:rsidR="00273F00">
        <w:rPr>
          <w:rFonts w:cs="MyriadPro-Light"/>
          <w:szCs w:val="24"/>
          <w:lang w:val="en-US"/>
        </w:rPr>
        <w:t xml:space="preserve">in </w:t>
      </w:r>
      <w:r w:rsidR="00EB4E80">
        <w:rPr>
          <w:rFonts w:cs="MyriadPro-Light"/>
          <w:szCs w:val="24"/>
          <w:lang w:val="en-US"/>
        </w:rPr>
        <w:t>2013</w:t>
      </w:r>
      <w:r w:rsidR="005820D4">
        <w:rPr>
          <w:rFonts w:cs="MyriadPro-Light"/>
          <w:szCs w:val="24"/>
          <w:lang w:val="en-US"/>
        </w:rPr>
        <w:t xml:space="preserve">). Apart from the on-going UN exercise, regional organizations are also getting into the act. </w:t>
      </w:r>
      <w:r w:rsidR="00792D62">
        <w:rPr>
          <w:rFonts w:cs="MyriadPro-Light"/>
          <w:szCs w:val="24"/>
          <w:lang w:val="en-US"/>
        </w:rPr>
        <w:t xml:space="preserve">The ASEAN Regional Forum with its </w:t>
      </w:r>
      <w:r w:rsidR="008D4FCA">
        <w:rPr>
          <w:rFonts w:cs="MyriadPro-Light"/>
          <w:szCs w:val="24"/>
          <w:lang w:val="en-US"/>
        </w:rPr>
        <w:t xml:space="preserve">representative </w:t>
      </w:r>
      <w:r w:rsidR="00792D62">
        <w:rPr>
          <w:rFonts w:cs="MyriadPro-Light"/>
          <w:szCs w:val="24"/>
          <w:lang w:val="en-US"/>
        </w:rPr>
        <w:t>membership and participants, 27 nations going much beyond Asia, has zoomed</w:t>
      </w:r>
      <w:r w:rsidR="008D4FCA">
        <w:rPr>
          <w:rFonts w:cs="MyriadPro-Light"/>
          <w:szCs w:val="24"/>
          <w:lang w:val="en-US"/>
        </w:rPr>
        <w:t xml:space="preserve"> in</w:t>
      </w:r>
      <w:r w:rsidR="00792D62">
        <w:rPr>
          <w:rFonts w:cs="MyriadPro-Light"/>
          <w:szCs w:val="24"/>
          <w:lang w:val="en-US"/>
        </w:rPr>
        <w:t xml:space="preserve"> </w:t>
      </w:r>
      <w:proofErr w:type="spellStart"/>
      <w:r w:rsidR="00792D62">
        <w:rPr>
          <w:rFonts w:cs="MyriadPro-Light"/>
          <w:szCs w:val="24"/>
          <w:lang w:val="en-US"/>
        </w:rPr>
        <w:t>in</w:t>
      </w:r>
      <w:proofErr w:type="spellEnd"/>
      <w:r w:rsidR="00792D62">
        <w:rPr>
          <w:rFonts w:cs="MyriadPro-Light"/>
          <w:szCs w:val="24"/>
          <w:lang w:val="en-US"/>
        </w:rPr>
        <w:t xml:space="preserve"> full on the CBM theme</w:t>
      </w:r>
      <w:r w:rsidR="00792D62">
        <w:rPr>
          <w:rStyle w:val="Refdenotaalpie"/>
          <w:rFonts w:cs="MyriadPro-Light"/>
          <w:szCs w:val="24"/>
          <w:lang w:val="en-US"/>
        </w:rPr>
        <w:footnoteReference w:id="20"/>
      </w:r>
      <w:r w:rsidR="00792D62">
        <w:rPr>
          <w:rFonts w:cs="MyriadPro-Light"/>
          <w:szCs w:val="24"/>
          <w:lang w:val="en-US"/>
        </w:rPr>
        <w:t xml:space="preserve">. </w:t>
      </w:r>
      <w:r w:rsidR="005820D4">
        <w:rPr>
          <w:rFonts w:cs="MyriadPro-Light"/>
          <w:szCs w:val="24"/>
          <w:lang w:val="en-US"/>
        </w:rPr>
        <w:t>The OSCE</w:t>
      </w:r>
      <w:r w:rsidR="00E40828">
        <w:rPr>
          <w:rFonts w:cs="MyriadPro-Light"/>
          <w:szCs w:val="24"/>
          <w:lang w:val="en-US"/>
        </w:rPr>
        <w:t>, mindful of its earlier experience with East-West CBMs,</w:t>
      </w:r>
      <w:r w:rsidR="005820D4">
        <w:rPr>
          <w:rFonts w:cs="MyriadPro-Light"/>
          <w:szCs w:val="24"/>
          <w:lang w:val="en-US"/>
        </w:rPr>
        <w:t xml:space="preserve"> is intensively working on a draft code of conduct (see “A Comprehensive Approach to Cyber Security</w:t>
      </w:r>
      <w:r w:rsidR="00273F00">
        <w:rPr>
          <w:rFonts w:cs="MyriadPro-Light"/>
          <w:szCs w:val="24"/>
          <w:lang w:val="en-US"/>
        </w:rPr>
        <w:t>”</w:t>
      </w:r>
      <w:r w:rsidR="005820D4">
        <w:rPr>
          <w:rFonts w:cs="MyriadPro-Light"/>
          <w:szCs w:val="24"/>
          <w:lang w:val="en-US"/>
        </w:rPr>
        <w:t>)</w:t>
      </w:r>
      <w:r w:rsidR="000E1907">
        <w:rPr>
          <w:rStyle w:val="Refdenotaalpie"/>
          <w:rFonts w:cs="MyriadPro-Light"/>
          <w:szCs w:val="24"/>
          <w:lang w:val="en-US"/>
        </w:rPr>
        <w:footnoteReference w:id="21"/>
      </w:r>
      <w:r w:rsidR="005820D4">
        <w:rPr>
          <w:rFonts w:cs="MyriadPro-Light"/>
          <w:szCs w:val="24"/>
          <w:lang w:val="en-US"/>
        </w:rPr>
        <w:t xml:space="preserve"> and APEC</w:t>
      </w:r>
      <w:r w:rsidR="008D4FCA">
        <w:rPr>
          <w:rStyle w:val="Refdenotaalpie"/>
          <w:rFonts w:cs="MyriadPro-Light"/>
          <w:szCs w:val="24"/>
          <w:lang w:val="en-US"/>
        </w:rPr>
        <w:footnoteReference w:id="22"/>
      </w:r>
      <w:r w:rsidR="005820D4">
        <w:rPr>
          <w:rFonts w:cs="MyriadPro-Light"/>
          <w:szCs w:val="24"/>
          <w:lang w:val="en-US"/>
        </w:rPr>
        <w:t>, as well as the</w:t>
      </w:r>
      <w:r w:rsidR="008D4FCA">
        <w:rPr>
          <w:rFonts w:cs="MyriadPro-Light"/>
          <w:szCs w:val="24"/>
          <w:lang w:val="en-US"/>
        </w:rPr>
        <w:t xml:space="preserve"> aforementioned Shanghai Cooperation Organization</w:t>
      </w:r>
      <w:r w:rsidR="008D4FCA">
        <w:rPr>
          <w:rStyle w:val="Refdenotaalpie"/>
          <w:rFonts w:cs="MyriadPro-Light"/>
          <w:szCs w:val="24"/>
          <w:lang w:val="en-US"/>
        </w:rPr>
        <w:footnoteReference w:id="23"/>
      </w:r>
      <w:r w:rsidR="005820D4">
        <w:rPr>
          <w:rFonts w:cs="MyriadPro-Light"/>
          <w:szCs w:val="24"/>
          <w:lang w:val="en-US"/>
        </w:rPr>
        <w:t xml:space="preserve"> are also </w:t>
      </w:r>
      <w:r w:rsidR="00273F00">
        <w:rPr>
          <w:rFonts w:cs="MyriadPro-Light"/>
          <w:szCs w:val="24"/>
          <w:lang w:val="en-US"/>
        </w:rPr>
        <w:t>working on regional arrangements</w:t>
      </w:r>
      <w:r w:rsidR="005820D4">
        <w:rPr>
          <w:rFonts w:cs="MyriadPro-Light"/>
          <w:szCs w:val="24"/>
          <w:lang w:val="en-US"/>
        </w:rPr>
        <w:t>. The Council of Europe, famous for its contribution to a world penal law on cyber crime through the Conven</w:t>
      </w:r>
      <w:r w:rsidR="005A6D10">
        <w:rPr>
          <w:rFonts w:cs="MyriadPro-Light"/>
          <w:szCs w:val="24"/>
          <w:lang w:val="en-US"/>
        </w:rPr>
        <w:t>tion on Cybercrime, has adopted 10 Principles on Internet Governance</w:t>
      </w:r>
      <w:r w:rsidR="006B630C">
        <w:rPr>
          <w:rStyle w:val="Refdenotaalpie"/>
          <w:rFonts w:cs="MyriadPro-Light"/>
          <w:szCs w:val="24"/>
          <w:lang w:val="en-US"/>
        </w:rPr>
        <w:footnoteReference w:id="24"/>
      </w:r>
      <w:r w:rsidR="00792D62">
        <w:rPr>
          <w:rFonts w:cs="MyriadPro-Light"/>
          <w:szCs w:val="24"/>
          <w:lang w:val="en-US"/>
        </w:rPr>
        <w:t xml:space="preserve">. </w:t>
      </w:r>
      <w:r w:rsidR="005820D4">
        <w:rPr>
          <w:rFonts w:cs="MyriadPro-Light"/>
          <w:szCs w:val="24"/>
          <w:lang w:val="en-US"/>
        </w:rPr>
        <w:t>UNIDIR helps to provide the academic underpinning for these endeavors</w:t>
      </w:r>
      <w:r w:rsidR="00506265">
        <w:rPr>
          <w:rStyle w:val="Refdenotaalpie"/>
          <w:rFonts w:cs="MyriadPro-Light"/>
          <w:szCs w:val="24"/>
          <w:lang w:val="en-US"/>
        </w:rPr>
        <w:footnoteReference w:id="25"/>
      </w:r>
      <w:r w:rsidR="005820D4">
        <w:rPr>
          <w:rFonts w:cs="MyriadPro-Light"/>
          <w:szCs w:val="24"/>
          <w:lang w:val="en-US"/>
        </w:rPr>
        <w:t>. ONGs in the cyber area, as the ICT4Peace</w:t>
      </w:r>
      <w:r w:rsidR="00BF2CB3">
        <w:rPr>
          <w:rStyle w:val="Refdenotaalpie"/>
          <w:rFonts w:cs="MyriadPro-Light"/>
          <w:szCs w:val="24"/>
          <w:lang w:val="en-US"/>
        </w:rPr>
        <w:footnoteReference w:id="26"/>
      </w:r>
      <w:r w:rsidR="005820D4">
        <w:rPr>
          <w:rFonts w:cs="MyriadPro-Light"/>
          <w:szCs w:val="24"/>
          <w:lang w:val="en-US"/>
        </w:rPr>
        <w:t xml:space="preserve">, or individual researchers like the Estonian scientist </w:t>
      </w:r>
      <w:proofErr w:type="spellStart"/>
      <w:r w:rsidR="002E42C7">
        <w:rPr>
          <w:rFonts w:cs="MyriadPro-Light"/>
          <w:szCs w:val="24"/>
          <w:lang w:val="en-US"/>
        </w:rPr>
        <w:t>Eneken</w:t>
      </w:r>
      <w:proofErr w:type="spellEnd"/>
      <w:r w:rsidR="002E42C7">
        <w:rPr>
          <w:rFonts w:cs="MyriadPro-Light"/>
          <w:szCs w:val="24"/>
          <w:lang w:val="en-US"/>
        </w:rPr>
        <w:t xml:space="preserve"> </w:t>
      </w:r>
      <w:proofErr w:type="spellStart"/>
      <w:r w:rsidR="002E42C7">
        <w:rPr>
          <w:rFonts w:cs="MyriadPro-Light"/>
          <w:szCs w:val="24"/>
          <w:lang w:val="en-US"/>
        </w:rPr>
        <w:t>Tikk</w:t>
      </w:r>
      <w:proofErr w:type="spellEnd"/>
      <w:r w:rsidR="00BF2CB3">
        <w:rPr>
          <w:rStyle w:val="Refdenotaalpie"/>
          <w:rFonts w:cs="MyriadPro-Light"/>
          <w:szCs w:val="24"/>
          <w:lang w:val="en-US"/>
        </w:rPr>
        <w:footnoteReference w:id="27"/>
      </w:r>
      <w:r w:rsidR="002E42C7">
        <w:rPr>
          <w:rFonts w:cs="MyriadPro-Light"/>
          <w:szCs w:val="24"/>
          <w:lang w:val="en-US"/>
        </w:rPr>
        <w:t>, provide catalogues of rules of conduct of their own. These catalogues can obviously not be reproduced or analyzed here – I will revert to the task waiting for us there – but provide effective tools for spurring the debate and facilitating CBM negotiations.</w:t>
      </w:r>
      <w:r w:rsidR="00B73735">
        <w:rPr>
          <w:rFonts w:cs="MyriadPro-Light"/>
          <w:szCs w:val="24"/>
          <w:lang w:val="en-US"/>
        </w:rPr>
        <w:t xml:space="preserve"> I hardly need to remind you that our own </w:t>
      </w:r>
      <w:proofErr w:type="spellStart"/>
      <w:r w:rsidR="00B73735">
        <w:rPr>
          <w:rFonts w:cs="MyriadPro-Light"/>
          <w:szCs w:val="24"/>
          <w:lang w:val="en-US"/>
        </w:rPr>
        <w:t>Erice</w:t>
      </w:r>
      <w:proofErr w:type="spellEnd"/>
      <w:r w:rsidR="00B73735">
        <w:rPr>
          <w:rFonts w:cs="MyriadPro-Light"/>
          <w:szCs w:val="24"/>
          <w:lang w:val="en-US"/>
        </w:rPr>
        <w:t xml:space="preserve"> Declaration on Principles for Cyber </w:t>
      </w:r>
      <w:r w:rsidR="00B73735">
        <w:rPr>
          <w:rFonts w:cs="MyriadPro-Light"/>
          <w:szCs w:val="24"/>
          <w:lang w:val="en-US"/>
        </w:rPr>
        <w:lastRenderedPageBreak/>
        <w:t>Stability and Cyber Peace of August 20</w:t>
      </w:r>
      <w:r w:rsidR="002C7E3F">
        <w:rPr>
          <w:rFonts w:cs="MyriadPro-Light"/>
          <w:szCs w:val="24"/>
          <w:lang w:val="en-US"/>
        </w:rPr>
        <w:t>09</w:t>
      </w:r>
      <w:r w:rsidR="00506265">
        <w:rPr>
          <w:rStyle w:val="Refdenotaalpie"/>
          <w:rFonts w:cs="MyriadPro-Light"/>
          <w:szCs w:val="24"/>
          <w:lang w:val="en-US"/>
        </w:rPr>
        <w:footnoteReference w:id="28"/>
      </w:r>
      <w:r w:rsidR="00B73735">
        <w:rPr>
          <w:rFonts w:cs="MyriadPro-Light"/>
          <w:szCs w:val="24"/>
          <w:lang w:val="en-US"/>
        </w:rPr>
        <w:t xml:space="preserve"> also urges a common code for cyber conduct. </w:t>
      </w:r>
    </w:p>
    <w:p w:rsidR="002E42C7" w:rsidRDefault="002E42C7" w:rsidP="006E6353">
      <w:pPr>
        <w:autoSpaceDE w:val="0"/>
        <w:autoSpaceDN w:val="0"/>
        <w:adjustRightInd w:val="0"/>
        <w:spacing w:after="0" w:line="360" w:lineRule="auto"/>
        <w:rPr>
          <w:rFonts w:cs="MyriadPro-Light"/>
          <w:szCs w:val="24"/>
          <w:lang w:val="en-US"/>
        </w:rPr>
      </w:pPr>
    </w:p>
    <w:p w:rsidR="002E42C7" w:rsidRDefault="002E42C7" w:rsidP="006E6353">
      <w:pPr>
        <w:autoSpaceDE w:val="0"/>
        <w:autoSpaceDN w:val="0"/>
        <w:adjustRightInd w:val="0"/>
        <w:spacing w:after="0" w:line="360" w:lineRule="auto"/>
        <w:rPr>
          <w:rFonts w:cs="MyriadPro-Light"/>
          <w:szCs w:val="24"/>
          <w:lang w:val="en-US"/>
        </w:rPr>
      </w:pPr>
      <w:r>
        <w:rPr>
          <w:rFonts w:cs="MyriadPro-Light"/>
          <w:szCs w:val="24"/>
          <w:lang w:val="en-US"/>
        </w:rPr>
        <w:t>Just to give the audience the flavor of where codes of conduct may lead us, I will provide</w:t>
      </w:r>
      <w:r w:rsidR="00C266B2">
        <w:rPr>
          <w:rFonts w:cs="MyriadPro-Light"/>
          <w:szCs w:val="24"/>
          <w:lang w:val="en-US"/>
        </w:rPr>
        <w:t xml:space="preserve"> subsequently</w:t>
      </w:r>
      <w:r>
        <w:rPr>
          <w:rFonts w:cs="MyriadPro-Light"/>
          <w:szCs w:val="24"/>
          <w:lang w:val="en-US"/>
        </w:rPr>
        <w:t xml:space="preserve"> an indicative lis</w:t>
      </w:r>
      <w:r w:rsidR="005D3B97">
        <w:rPr>
          <w:rFonts w:cs="MyriadPro-Light"/>
          <w:szCs w:val="24"/>
          <w:lang w:val="en-US"/>
        </w:rPr>
        <w:t xml:space="preserve">t of important provisos which </w:t>
      </w:r>
      <w:r>
        <w:rPr>
          <w:rFonts w:cs="MyriadPro-Light"/>
          <w:szCs w:val="24"/>
          <w:lang w:val="en-US"/>
        </w:rPr>
        <w:t>CBM</w:t>
      </w:r>
      <w:r w:rsidR="005D3B97">
        <w:rPr>
          <w:rFonts w:cs="MyriadPro-Light"/>
          <w:szCs w:val="24"/>
          <w:lang w:val="en-US"/>
        </w:rPr>
        <w:t>s</w:t>
      </w:r>
      <w:r>
        <w:rPr>
          <w:rFonts w:cs="MyriadPro-Light"/>
          <w:szCs w:val="24"/>
          <w:lang w:val="en-US"/>
        </w:rPr>
        <w:t xml:space="preserve"> or</w:t>
      </w:r>
      <w:r w:rsidR="005D3B97">
        <w:rPr>
          <w:rFonts w:cs="MyriadPro-Light"/>
          <w:szCs w:val="24"/>
          <w:lang w:val="en-US"/>
        </w:rPr>
        <w:t xml:space="preserve"> a</w:t>
      </w:r>
      <w:r>
        <w:rPr>
          <w:rFonts w:cs="MyriadPro-Light"/>
          <w:szCs w:val="24"/>
          <w:lang w:val="en-US"/>
        </w:rPr>
        <w:t xml:space="preserve"> code of conduct negotiation should consider. The list comprises the tenets I personally have been working with, but also reflect the principles Secretary </w:t>
      </w:r>
      <w:proofErr w:type="spellStart"/>
      <w:r>
        <w:rPr>
          <w:rFonts w:cs="MyriadPro-Light"/>
          <w:szCs w:val="24"/>
          <w:lang w:val="en-US"/>
        </w:rPr>
        <w:t>Hamadoun</w:t>
      </w:r>
      <w:proofErr w:type="spellEnd"/>
      <w:r>
        <w:rPr>
          <w:rFonts w:cs="MyriadPro-Light"/>
          <w:szCs w:val="24"/>
          <w:lang w:val="en-US"/>
        </w:rPr>
        <w:t xml:space="preserve"> </w:t>
      </w:r>
      <w:proofErr w:type="spellStart"/>
      <w:r>
        <w:rPr>
          <w:rFonts w:cs="MyriadPro-Light"/>
          <w:szCs w:val="24"/>
          <w:lang w:val="en-US"/>
        </w:rPr>
        <w:t>Touré</w:t>
      </w:r>
      <w:proofErr w:type="spellEnd"/>
      <w:r>
        <w:rPr>
          <w:rFonts w:cs="MyriadPro-Light"/>
          <w:szCs w:val="24"/>
          <w:lang w:val="en-US"/>
        </w:rPr>
        <w:t xml:space="preserve"> and the ITU consider essential, and some ideas from other catalogues. The list is not only indicative, but also very general, as CBM negotiations, other than treaty-making, only lend themselves to very basic </w:t>
      </w:r>
      <w:r w:rsidR="00676429">
        <w:rPr>
          <w:rFonts w:cs="MyriadPro-Light"/>
          <w:szCs w:val="24"/>
          <w:lang w:val="en-US"/>
        </w:rPr>
        <w:t>commitments</w:t>
      </w:r>
      <w:r>
        <w:rPr>
          <w:rFonts w:cs="MyriadPro-Light"/>
          <w:szCs w:val="24"/>
          <w:lang w:val="en-US"/>
        </w:rPr>
        <w:t>.</w:t>
      </w:r>
    </w:p>
    <w:p w:rsidR="002E42C7" w:rsidRDefault="002E42C7" w:rsidP="006E6353">
      <w:pPr>
        <w:autoSpaceDE w:val="0"/>
        <w:autoSpaceDN w:val="0"/>
        <w:adjustRightInd w:val="0"/>
        <w:spacing w:after="0" w:line="360" w:lineRule="auto"/>
        <w:rPr>
          <w:rFonts w:cs="MyriadPro-Light"/>
          <w:szCs w:val="24"/>
          <w:lang w:val="en-US"/>
        </w:rPr>
      </w:pPr>
    </w:p>
    <w:p w:rsidR="002E42C7" w:rsidRDefault="002E42C7" w:rsidP="006E6353">
      <w:pPr>
        <w:autoSpaceDE w:val="0"/>
        <w:autoSpaceDN w:val="0"/>
        <w:adjustRightInd w:val="0"/>
        <w:spacing w:after="0" w:line="360" w:lineRule="auto"/>
        <w:rPr>
          <w:rFonts w:cs="MyriadPro-Light"/>
          <w:szCs w:val="24"/>
          <w:lang w:val="en-US"/>
        </w:rPr>
      </w:pPr>
      <w:r>
        <w:rPr>
          <w:rFonts w:cs="MyriadPro-Light"/>
          <w:szCs w:val="24"/>
          <w:lang w:val="en-US"/>
        </w:rPr>
        <w:t>The list would read as follows:</w:t>
      </w:r>
    </w:p>
    <w:p w:rsidR="00C6453E" w:rsidRDefault="00C6453E" w:rsidP="00EF598E">
      <w:pPr>
        <w:spacing w:line="240" w:lineRule="auto"/>
        <w:rPr>
          <w:sz w:val="20"/>
          <w:lang w:val="en-GB"/>
        </w:rPr>
      </w:pPr>
    </w:p>
    <w:p w:rsidR="00EF598E" w:rsidRPr="00EF598E" w:rsidRDefault="00EF598E" w:rsidP="00EF598E">
      <w:pPr>
        <w:spacing w:line="240" w:lineRule="auto"/>
        <w:rPr>
          <w:sz w:val="20"/>
          <w:lang w:val="en-GB"/>
        </w:rPr>
      </w:pPr>
      <w:r w:rsidRPr="00EF598E">
        <w:rPr>
          <w:sz w:val="20"/>
          <w:lang w:val="en-GB"/>
        </w:rPr>
        <w:t xml:space="preserve">Binding agreement on the fundamental principle that a cyber attack against another </w:t>
      </w:r>
      <w:proofErr w:type="gramStart"/>
      <w:r w:rsidRPr="00EF598E">
        <w:rPr>
          <w:sz w:val="20"/>
          <w:lang w:val="en-GB"/>
        </w:rPr>
        <w:t>State,</w:t>
      </w:r>
      <w:proofErr w:type="gramEnd"/>
      <w:r w:rsidRPr="00EF598E">
        <w:rPr>
          <w:sz w:val="20"/>
          <w:lang w:val="en-GB"/>
        </w:rPr>
        <w:t xml:space="preserve"> direct or through hired perpetrators, constitute</w:t>
      </w:r>
      <w:r w:rsidR="00FA4C91">
        <w:rPr>
          <w:sz w:val="20"/>
          <w:lang w:val="en-GB"/>
        </w:rPr>
        <w:t>s</w:t>
      </w:r>
      <w:r w:rsidRPr="00EF598E">
        <w:rPr>
          <w:sz w:val="20"/>
          <w:lang w:val="en-GB"/>
        </w:rPr>
        <w:t xml:space="preserve"> a violation of international law.</w:t>
      </w:r>
    </w:p>
    <w:p w:rsidR="00EF598E" w:rsidRPr="00EF598E" w:rsidRDefault="00EF598E" w:rsidP="00EF598E">
      <w:pPr>
        <w:spacing w:line="240" w:lineRule="auto"/>
        <w:rPr>
          <w:sz w:val="20"/>
          <w:lang w:val="en-GB"/>
        </w:rPr>
      </w:pPr>
      <w:r w:rsidRPr="00EF598E">
        <w:rPr>
          <w:sz w:val="20"/>
          <w:lang w:val="en-GB"/>
        </w:rPr>
        <w:t>Commitment of all States not to practice first use of cyber weapons against another State, as long it has not already undergone an attack by conventional weapons.</w:t>
      </w:r>
    </w:p>
    <w:p w:rsidR="00801D7C" w:rsidRDefault="00EF598E" w:rsidP="00EF598E">
      <w:pPr>
        <w:spacing w:line="240" w:lineRule="auto"/>
        <w:rPr>
          <w:sz w:val="20"/>
          <w:lang w:val="en-GB"/>
        </w:rPr>
      </w:pPr>
      <w:r w:rsidRPr="00EF598E">
        <w:rPr>
          <w:sz w:val="20"/>
          <w:lang w:val="en-GB"/>
        </w:rPr>
        <w:t xml:space="preserve">States subscribe, nationally and internationally, to a policy of prevention of cyber conflicts, placing the emphasis on cyber </w:t>
      </w:r>
      <w:proofErr w:type="spellStart"/>
      <w:r w:rsidRPr="00EF598E">
        <w:rPr>
          <w:sz w:val="20"/>
          <w:lang w:val="en-GB"/>
        </w:rPr>
        <w:t>defense</w:t>
      </w:r>
      <w:proofErr w:type="spellEnd"/>
      <w:r w:rsidRPr="00EF598E">
        <w:rPr>
          <w:sz w:val="20"/>
          <w:lang w:val="en-GB"/>
        </w:rPr>
        <w:t xml:space="preserve">, and will therefore, jointly with the private sector, secure their systems and networks through maximum robustness and potential of resilience, built-in redundancies, net segmentation, “cyber </w:t>
      </w:r>
      <w:proofErr w:type="spellStart"/>
      <w:r w:rsidRPr="00EF598E">
        <w:rPr>
          <w:sz w:val="20"/>
          <w:lang w:val="en-GB"/>
        </w:rPr>
        <w:t>higiene</w:t>
      </w:r>
      <w:proofErr w:type="spellEnd"/>
      <w:r w:rsidRPr="00EF598E">
        <w:rPr>
          <w:sz w:val="20"/>
          <w:lang w:val="en-GB"/>
        </w:rPr>
        <w:t xml:space="preserve">”, efficient management, and similar measures. States will to that effect collaborate in international standard-setting. </w:t>
      </w:r>
    </w:p>
    <w:p w:rsidR="00EF598E" w:rsidRPr="00EF598E" w:rsidRDefault="00EF598E" w:rsidP="00EF598E">
      <w:pPr>
        <w:spacing w:line="240" w:lineRule="auto"/>
        <w:rPr>
          <w:sz w:val="20"/>
          <w:lang w:val="en-GB"/>
        </w:rPr>
      </w:pPr>
      <w:r w:rsidRPr="00EF598E">
        <w:rPr>
          <w:sz w:val="20"/>
          <w:lang w:val="en-GB"/>
        </w:rPr>
        <w:t>In case of a cyber attack or grave disturbance of their net structures in proces</w:t>
      </w:r>
      <w:r w:rsidR="00C6453E">
        <w:rPr>
          <w:sz w:val="20"/>
          <w:lang w:val="en-GB"/>
        </w:rPr>
        <w:t>s, States will aim at the resto</w:t>
      </w:r>
      <w:r w:rsidRPr="00EF598E">
        <w:rPr>
          <w:sz w:val="20"/>
          <w:lang w:val="en-GB"/>
        </w:rPr>
        <w:t>ration of intact networks and of stable peaceful communication structures at the earliest point in time.</w:t>
      </w:r>
    </w:p>
    <w:p w:rsidR="00EF598E" w:rsidRPr="00EF598E" w:rsidRDefault="00EF598E" w:rsidP="00EF598E">
      <w:pPr>
        <w:spacing w:line="240" w:lineRule="auto"/>
        <w:rPr>
          <w:sz w:val="20"/>
          <w:lang w:val="en-GB"/>
        </w:rPr>
      </w:pPr>
      <w:r w:rsidRPr="00EF598E">
        <w:rPr>
          <w:sz w:val="20"/>
          <w:lang w:val="en-GB"/>
        </w:rPr>
        <w:t>States are responsible for the protection of critical infrastructures on their national territory, particularly of thos</w:t>
      </w:r>
      <w:r w:rsidR="00C6453E">
        <w:rPr>
          <w:sz w:val="20"/>
          <w:lang w:val="en-GB"/>
        </w:rPr>
        <w:t>e ensuring energy availability,</w:t>
      </w:r>
      <w:r w:rsidRPr="00EF598E">
        <w:rPr>
          <w:sz w:val="20"/>
          <w:lang w:val="en-GB"/>
        </w:rPr>
        <w:t xml:space="preserve"> banking services, public health, and installations serving other humanitarian purposes, and to ensure the inviolability of transnational digital net structures. Attacks on these structures are prohibited. </w:t>
      </w:r>
    </w:p>
    <w:p w:rsidR="00EF598E" w:rsidRPr="00EF598E" w:rsidRDefault="00EF598E" w:rsidP="00EF598E">
      <w:pPr>
        <w:spacing w:line="240" w:lineRule="auto"/>
        <w:rPr>
          <w:sz w:val="20"/>
          <w:lang w:val="en-GB"/>
        </w:rPr>
      </w:pPr>
      <w:r w:rsidRPr="00EF598E">
        <w:rPr>
          <w:sz w:val="20"/>
          <w:lang w:val="en-GB"/>
        </w:rPr>
        <w:t>States ar</w:t>
      </w:r>
      <w:r w:rsidR="00073F55">
        <w:rPr>
          <w:sz w:val="20"/>
          <w:lang w:val="en-GB"/>
        </w:rPr>
        <w:t>e obliged, in the interest of</w:t>
      </w:r>
      <w:r w:rsidRPr="00EF598E">
        <w:rPr>
          <w:sz w:val="20"/>
          <w:lang w:val="en-GB"/>
        </w:rPr>
        <w:t xml:space="preserve"> a uniform or harmonized international protective legal framework, to introduce comprehensive penal legislation for the persecution of cyber crime – be it by adhering to the Convention of Cybercrime of the Council of Europe, or by adopting comparably comprehensive arrangements – and to ensure the efficiency of law enforcement and the requisite international cooperation for that purpose.</w:t>
      </w:r>
    </w:p>
    <w:p w:rsidR="00EF598E" w:rsidRPr="00EF598E" w:rsidRDefault="00EF598E" w:rsidP="00EF598E">
      <w:pPr>
        <w:spacing w:line="240" w:lineRule="auto"/>
        <w:rPr>
          <w:sz w:val="20"/>
          <w:lang w:val="en-GB"/>
        </w:rPr>
      </w:pPr>
      <w:r w:rsidRPr="00EF598E">
        <w:rPr>
          <w:sz w:val="20"/>
          <w:lang w:val="en-GB"/>
        </w:rPr>
        <w:t>States have the duty to protect their national citizens in cyberspace.</w:t>
      </w:r>
    </w:p>
    <w:p w:rsidR="00EF598E" w:rsidRPr="00EF598E" w:rsidRDefault="00EF598E" w:rsidP="00EF598E">
      <w:pPr>
        <w:spacing w:line="240" w:lineRule="auto"/>
        <w:rPr>
          <w:sz w:val="20"/>
          <w:lang w:val="en-GB"/>
        </w:rPr>
      </w:pPr>
      <w:r w:rsidRPr="00EF598E">
        <w:rPr>
          <w:sz w:val="20"/>
          <w:lang w:val="en-GB"/>
        </w:rPr>
        <w:lastRenderedPageBreak/>
        <w:t xml:space="preserve">States must not tolerate cyber terrorists or cyber criminals operating in or from their territory without due punishment. States are obliged, within available technological means (for example, through deep packet inspection of the principal </w:t>
      </w:r>
      <w:proofErr w:type="spellStart"/>
      <w:r w:rsidRPr="00EF598E">
        <w:rPr>
          <w:sz w:val="20"/>
          <w:lang w:val="en-GB"/>
        </w:rPr>
        <w:t>fiber</w:t>
      </w:r>
      <w:proofErr w:type="spellEnd"/>
      <w:r w:rsidRPr="00EF598E">
        <w:rPr>
          <w:sz w:val="20"/>
          <w:lang w:val="en-GB"/>
        </w:rPr>
        <w:t xml:space="preserve"> circuits of their ISPs) to impede and reveal the use of their territory by cyber criminals.</w:t>
      </w:r>
    </w:p>
    <w:p w:rsidR="00EF598E" w:rsidRPr="00EF598E" w:rsidRDefault="00EF598E" w:rsidP="00EF598E">
      <w:pPr>
        <w:spacing w:line="240" w:lineRule="auto"/>
        <w:rPr>
          <w:sz w:val="20"/>
          <w:lang w:val="en-GB"/>
        </w:rPr>
      </w:pPr>
      <w:r w:rsidRPr="00EF598E">
        <w:rPr>
          <w:sz w:val="20"/>
          <w:lang w:val="en-GB"/>
        </w:rPr>
        <w:t xml:space="preserve">The use of </w:t>
      </w:r>
      <w:proofErr w:type="spellStart"/>
      <w:r w:rsidRPr="00EF598E">
        <w:rPr>
          <w:sz w:val="20"/>
          <w:lang w:val="en-GB"/>
        </w:rPr>
        <w:t>botnets</w:t>
      </w:r>
      <w:proofErr w:type="spellEnd"/>
      <w:r w:rsidRPr="00EF598E">
        <w:rPr>
          <w:sz w:val="20"/>
          <w:lang w:val="en-GB"/>
        </w:rPr>
        <w:t xml:space="preserve"> and other irregular cyber war practices is forbidden, and States are obliged to implement this prohibition on their national territory.</w:t>
      </w:r>
    </w:p>
    <w:p w:rsidR="00EF598E" w:rsidRPr="00EF598E" w:rsidRDefault="00EF598E" w:rsidP="00EF598E">
      <w:pPr>
        <w:spacing w:line="240" w:lineRule="auto"/>
        <w:rPr>
          <w:sz w:val="20"/>
          <w:lang w:val="en-GB"/>
        </w:rPr>
      </w:pPr>
      <w:r w:rsidRPr="00EF598E">
        <w:rPr>
          <w:sz w:val="20"/>
          <w:lang w:val="en-GB"/>
        </w:rPr>
        <w:t>Neutrality continues to be valid in the cyber age, and cyber attacks must not be perpetrated through the net structures of neutral States.</w:t>
      </w:r>
    </w:p>
    <w:p w:rsidR="00EF598E" w:rsidRPr="00EF598E" w:rsidRDefault="00EF598E" w:rsidP="00EF598E">
      <w:pPr>
        <w:spacing w:line="240" w:lineRule="auto"/>
        <w:rPr>
          <w:sz w:val="20"/>
          <w:lang w:val="en-GB"/>
        </w:rPr>
      </w:pPr>
      <w:r w:rsidRPr="00EF598E">
        <w:rPr>
          <w:sz w:val="20"/>
          <w:lang w:val="en-GB"/>
        </w:rPr>
        <w:t>States must commit</w:t>
      </w:r>
      <w:r w:rsidR="00C6453E">
        <w:rPr>
          <w:sz w:val="20"/>
          <w:lang w:val="en-GB"/>
        </w:rPr>
        <w:t xml:space="preserve"> themselves</w:t>
      </w:r>
      <w:r w:rsidRPr="00EF598E">
        <w:rPr>
          <w:sz w:val="20"/>
          <w:lang w:val="en-GB"/>
        </w:rPr>
        <w:t xml:space="preserve"> to mutual assistance in the reconnaissance and detection of cyber crimes, particularly if the attack has issued from their territory. States are to participate fully in the existing information and early warning systems, by adhering to the agreements on 24/7 contact points and international CERT networks, among others.</w:t>
      </w:r>
    </w:p>
    <w:p w:rsidR="00073F55" w:rsidRDefault="00EF598E" w:rsidP="00EF598E">
      <w:pPr>
        <w:pStyle w:val="Default"/>
        <w:rPr>
          <w:rFonts w:ascii="News Gothic MT" w:hAnsi="News Gothic MT"/>
          <w:sz w:val="20"/>
          <w:szCs w:val="20"/>
          <w:lang w:val="en-US"/>
        </w:rPr>
      </w:pPr>
      <w:r w:rsidRPr="00EF598E">
        <w:rPr>
          <w:rFonts w:ascii="News Gothic MT" w:hAnsi="News Gothic MT"/>
          <w:sz w:val="20"/>
          <w:szCs w:val="20"/>
          <w:lang w:val="en-GB"/>
        </w:rPr>
        <w:t xml:space="preserve">States are invited to conclude, in addition to multilateral agreements, bilateral accords containing reciprocal non-aggression commitments, arrangements for the joint </w:t>
      </w:r>
      <w:proofErr w:type="spellStart"/>
      <w:r w:rsidRPr="00EF598E">
        <w:rPr>
          <w:rFonts w:ascii="News Gothic MT" w:hAnsi="News Gothic MT"/>
          <w:sz w:val="20"/>
          <w:szCs w:val="20"/>
          <w:lang w:val="en-GB"/>
        </w:rPr>
        <w:t>defense</w:t>
      </w:r>
      <w:proofErr w:type="spellEnd"/>
      <w:r w:rsidRPr="00EF598E">
        <w:rPr>
          <w:rFonts w:ascii="News Gothic MT" w:hAnsi="News Gothic MT"/>
          <w:sz w:val="20"/>
          <w:szCs w:val="20"/>
          <w:lang w:val="en-GB"/>
        </w:rPr>
        <w:t xml:space="preserve"> against cyber attacks, and mutual assistance in case of damage inflicted. </w:t>
      </w:r>
      <w:r w:rsidRPr="00EF598E">
        <w:rPr>
          <w:rFonts w:ascii="News Gothic MT" w:hAnsi="News Gothic MT"/>
          <w:sz w:val="20"/>
          <w:szCs w:val="20"/>
          <w:lang w:val="en-US"/>
        </w:rPr>
        <w:t>Unilateral declarations aimed at renouncing any cyber activity that might cause large-scale harm to civilian critical infrastructures are also desirable.</w:t>
      </w:r>
    </w:p>
    <w:p w:rsidR="00073F55" w:rsidRDefault="00073F55" w:rsidP="00EF598E">
      <w:pPr>
        <w:pStyle w:val="Default"/>
        <w:rPr>
          <w:rFonts w:ascii="News Gothic MT" w:hAnsi="News Gothic MT"/>
          <w:sz w:val="20"/>
          <w:szCs w:val="20"/>
          <w:lang w:val="en-US"/>
        </w:rPr>
      </w:pPr>
    </w:p>
    <w:p w:rsidR="00EF598E" w:rsidRPr="00073F55" w:rsidRDefault="00073F55" w:rsidP="00EF598E">
      <w:pPr>
        <w:pStyle w:val="Default"/>
        <w:rPr>
          <w:rFonts w:ascii="News Gothic MT" w:hAnsi="News Gothic MT"/>
          <w:sz w:val="20"/>
          <w:szCs w:val="20"/>
          <w:lang w:val="en-US"/>
        </w:rPr>
      </w:pPr>
      <w:r>
        <w:rPr>
          <w:rFonts w:ascii="News Gothic MT" w:hAnsi="News Gothic MT"/>
          <w:sz w:val="20"/>
          <w:szCs w:val="20"/>
          <w:lang w:val="en-US"/>
        </w:rPr>
        <w:t>States will</w:t>
      </w:r>
      <w:r>
        <w:rPr>
          <w:rFonts w:ascii="News Gothic MT" w:hAnsi="News Gothic MT" w:cs="Arial"/>
          <w:color w:val="333333"/>
          <w:sz w:val="20"/>
          <w:szCs w:val="20"/>
          <w:lang w:val="en-GB"/>
        </w:rPr>
        <w:t xml:space="preserve"> </w:t>
      </w:r>
      <w:r w:rsidRPr="00073F55">
        <w:rPr>
          <w:rFonts w:ascii="News Gothic MT" w:hAnsi="News Gothic MT" w:cs="Arial"/>
          <w:color w:val="333333"/>
          <w:sz w:val="20"/>
          <w:szCs w:val="20"/>
          <w:lang w:val="en-GB"/>
        </w:rPr>
        <w:t>ensure an open Internet that allows individuals access to content and services with only such restrictions as are permitted under international legal obligations, while protecting users against abuse, especially children.</w:t>
      </w:r>
      <w:r w:rsidR="00EF598E" w:rsidRPr="00073F55">
        <w:rPr>
          <w:rFonts w:ascii="News Gothic MT" w:hAnsi="News Gothic MT"/>
          <w:sz w:val="20"/>
          <w:szCs w:val="20"/>
          <w:lang w:val="en-US"/>
        </w:rPr>
        <w:t xml:space="preserve"> </w:t>
      </w:r>
      <w:r>
        <w:rPr>
          <w:rFonts w:ascii="News Gothic MT" w:hAnsi="News Gothic MT"/>
          <w:sz w:val="20"/>
          <w:szCs w:val="20"/>
          <w:lang w:val="en-US"/>
        </w:rPr>
        <w:t xml:space="preserve">Government restrictions on the freedom of the Internet will be duly incorporated into law and subject to independent judicial review. </w:t>
      </w:r>
    </w:p>
    <w:p w:rsidR="00EF598E" w:rsidRPr="00073F55" w:rsidRDefault="00EF598E" w:rsidP="00EF598E">
      <w:pPr>
        <w:autoSpaceDE w:val="0"/>
        <w:autoSpaceDN w:val="0"/>
        <w:adjustRightInd w:val="0"/>
        <w:spacing w:after="0" w:line="240" w:lineRule="auto"/>
        <w:rPr>
          <w:rFonts w:cs="MyriadPro-Light"/>
          <w:sz w:val="20"/>
          <w:lang w:val="en-US"/>
        </w:rPr>
      </w:pPr>
    </w:p>
    <w:p w:rsidR="00541480" w:rsidRPr="00073F55" w:rsidRDefault="00541480" w:rsidP="00EF598E">
      <w:pPr>
        <w:autoSpaceDE w:val="0"/>
        <w:autoSpaceDN w:val="0"/>
        <w:adjustRightInd w:val="0"/>
        <w:spacing w:after="0" w:line="240" w:lineRule="auto"/>
        <w:rPr>
          <w:rFonts w:cs="MyriadPro-Light"/>
          <w:sz w:val="20"/>
          <w:lang w:val="en-US"/>
        </w:rPr>
      </w:pPr>
    </w:p>
    <w:p w:rsidR="00541480" w:rsidRDefault="005956C2" w:rsidP="005956C2">
      <w:pPr>
        <w:autoSpaceDE w:val="0"/>
        <w:autoSpaceDN w:val="0"/>
        <w:adjustRightInd w:val="0"/>
        <w:spacing w:after="0" w:line="360" w:lineRule="auto"/>
        <w:rPr>
          <w:rFonts w:cs="MyriadPro-Light"/>
          <w:szCs w:val="24"/>
          <w:lang w:val="en-US"/>
        </w:rPr>
      </w:pPr>
      <w:r>
        <w:rPr>
          <w:rFonts w:cs="MyriadPro-Light"/>
          <w:szCs w:val="24"/>
          <w:lang w:val="en-US"/>
        </w:rPr>
        <w:t>That such catalogues of suggestions for future norm-making now appear realistic is certainly a welcome development. Yet, the road ahead is far from clear or without obstacles. Current activities in the field of cyber diplomacy take place in an environment of prevailing deep distrust, high secrecy especially as regards military cyber application</w:t>
      </w:r>
      <w:r w:rsidR="00676429">
        <w:rPr>
          <w:rFonts w:cs="MyriadPro-Light"/>
          <w:szCs w:val="24"/>
          <w:lang w:val="en-US"/>
        </w:rPr>
        <w:t>s</w:t>
      </w:r>
      <w:r>
        <w:rPr>
          <w:rFonts w:cs="MyriadPro-Light"/>
          <w:szCs w:val="24"/>
          <w:lang w:val="en-US"/>
        </w:rPr>
        <w:t xml:space="preserve">, wide disparities </w:t>
      </w:r>
      <w:r w:rsidR="00273F00">
        <w:rPr>
          <w:rFonts w:cs="MyriadPro-Light"/>
          <w:szCs w:val="24"/>
          <w:lang w:val="en-US"/>
        </w:rPr>
        <w:t>of views among States,</w:t>
      </w:r>
      <w:r w:rsidR="00676429">
        <w:rPr>
          <w:rFonts w:cs="MyriadPro-Light"/>
          <w:szCs w:val="24"/>
          <w:lang w:val="en-US"/>
        </w:rPr>
        <w:t xml:space="preserve"> insufficient research on important regulatory issues, and lack of a common vision of how a future order of cyberspace would look: most of the suggested lists are unsorted, with unclear overlaps. Some cr</w:t>
      </w:r>
      <w:r w:rsidR="000A4936">
        <w:rPr>
          <w:rFonts w:cs="MyriadPro-Light"/>
          <w:szCs w:val="24"/>
          <w:lang w:val="en-US"/>
        </w:rPr>
        <w:t>ucial issues may</w:t>
      </w:r>
      <w:r w:rsidR="00676429">
        <w:rPr>
          <w:rFonts w:cs="MyriadPro-Light"/>
          <w:szCs w:val="24"/>
          <w:lang w:val="en-US"/>
        </w:rPr>
        <w:t xml:space="preserve"> not lend themselves to a </w:t>
      </w:r>
      <w:r w:rsidR="000A4936">
        <w:rPr>
          <w:rFonts w:cs="MyriadPro-Light"/>
          <w:szCs w:val="24"/>
          <w:lang w:val="en-US"/>
        </w:rPr>
        <w:t>CBM negotiation on broad principles</w:t>
      </w:r>
      <w:r w:rsidR="007522D4">
        <w:rPr>
          <w:rFonts w:cs="MyriadPro-Light"/>
          <w:szCs w:val="24"/>
          <w:lang w:val="en-US"/>
        </w:rPr>
        <w:t xml:space="preserve"> at all</w:t>
      </w:r>
      <w:r w:rsidR="000A4936">
        <w:rPr>
          <w:rFonts w:cs="MyriadPro-Light"/>
          <w:szCs w:val="24"/>
          <w:lang w:val="en-US"/>
        </w:rPr>
        <w:t xml:space="preserve">: </w:t>
      </w:r>
      <w:r w:rsidR="00DA768E">
        <w:rPr>
          <w:rFonts w:cs="MyriadPro-Light"/>
          <w:szCs w:val="24"/>
          <w:lang w:val="en-US"/>
        </w:rPr>
        <w:t>many definitions, detailed rule-making on what constitutes “armed attack” or what responses would be justified, what rules of engagement should prevail, etc. would probably need long-drawn supplementary negotiations, to be outsourced to specialized bodies. (NATO and some governments like the US are already working on these issues</w:t>
      </w:r>
      <w:r w:rsidR="00951DF1">
        <w:rPr>
          <w:rFonts w:cs="MyriadPro-Light"/>
          <w:szCs w:val="24"/>
          <w:lang w:val="en-US"/>
        </w:rPr>
        <w:t>)</w:t>
      </w:r>
      <w:r w:rsidR="00DA768E">
        <w:rPr>
          <w:rFonts w:cs="MyriadPro-Light"/>
          <w:szCs w:val="24"/>
          <w:lang w:val="en-US"/>
        </w:rPr>
        <w:t xml:space="preserve">. Important </w:t>
      </w:r>
      <w:r w:rsidR="003D049D">
        <w:rPr>
          <w:rFonts w:cs="MyriadPro-Light"/>
          <w:szCs w:val="24"/>
          <w:lang w:val="en-US"/>
        </w:rPr>
        <w:t>as general principles are, th</w:t>
      </w:r>
      <w:r w:rsidR="00433960">
        <w:rPr>
          <w:rFonts w:cs="MyriadPro-Light"/>
          <w:szCs w:val="24"/>
          <w:lang w:val="en-US"/>
        </w:rPr>
        <w:t>is</w:t>
      </w:r>
      <w:r w:rsidR="00DA768E">
        <w:rPr>
          <w:rFonts w:cs="MyriadPro-Light"/>
          <w:szCs w:val="24"/>
          <w:lang w:val="en-US"/>
        </w:rPr>
        <w:t xml:space="preserve"> may well prove to be the </w:t>
      </w:r>
      <w:r w:rsidR="00433960">
        <w:rPr>
          <w:rFonts w:cs="MyriadPro-Light"/>
          <w:szCs w:val="24"/>
          <w:lang w:val="en-US"/>
        </w:rPr>
        <w:t xml:space="preserve">most </w:t>
      </w:r>
      <w:r w:rsidR="00DA768E">
        <w:rPr>
          <w:rFonts w:cs="MyriadPro-Light"/>
          <w:szCs w:val="24"/>
          <w:lang w:val="en-US"/>
        </w:rPr>
        <w:t xml:space="preserve">difficult part. </w:t>
      </w:r>
    </w:p>
    <w:p w:rsidR="00DA768E" w:rsidRDefault="00DA768E" w:rsidP="005956C2">
      <w:pPr>
        <w:autoSpaceDE w:val="0"/>
        <w:autoSpaceDN w:val="0"/>
        <w:adjustRightInd w:val="0"/>
        <w:spacing w:after="0" w:line="360" w:lineRule="auto"/>
        <w:rPr>
          <w:rFonts w:cs="MyriadPro-Light"/>
          <w:szCs w:val="24"/>
          <w:lang w:val="en-US"/>
        </w:rPr>
      </w:pPr>
    </w:p>
    <w:p w:rsidR="00DA768E" w:rsidRDefault="00DA768E" w:rsidP="005956C2">
      <w:pPr>
        <w:autoSpaceDE w:val="0"/>
        <w:autoSpaceDN w:val="0"/>
        <w:adjustRightInd w:val="0"/>
        <w:spacing w:after="0" w:line="360" w:lineRule="auto"/>
        <w:rPr>
          <w:rFonts w:cs="MyriadPro-Light"/>
          <w:szCs w:val="24"/>
          <w:lang w:val="en-US"/>
        </w:rPr>
      </w:pPr>
      <w:r>
        <w:rPr>
          <w:rFonts w:cs="MyriadPro-Light"/>
          <w:szCs w:val="24"/>
          <w:lang w:val="en-US"/>
        </w:rPr>
        <w:t>Then there is the general question of venue. Where should negotiations on CBMs or codes be located? (I will revert to that issue). What are the ground rules to be? Will participation be inclusive, allowing stakehold</w:t>
      </w:r>
      <w:r w:rsidR="00433960">
        <w:rPr>
          <w:rFonts w:cs="MyriadPro-Light"/>
          <w:szCs w:val="24"/>
          <w:lang w:val="en-US"/>
        </w:rPr>
        <w:t>ers other than States, to join?</w:t>
      </w:r>
      <w:r>
        <w:rPr>
          <w:rFonts w:cs="MyriadPro-Light"/>
          <w:szCs w:val="24"/>
          <w:lang w:val="en-US"/>
        </w:rPr>
        <w:t xml:space="preserve"> </w:t>
      </w:r>
      <w:r w:rsidR="001342E9">
        <w:rPr>
          <w:rFonts w:cs="MyriadPro-Light"/>
          <w:szCs w:val="24"/>
          <w:lang w:val="en-US"/>
        </w:rPr>
        <w:t xml:space="preserve">The need to practice a multi-stakeholders approach in Internet Governance is now generally recognized and must be translated into procedural reality. </w:t>
      </w:r>
      <w:r>
        <w:rPr>
          <w:rFonts w:cs="MyriadPro-Light"/>
          <w:szCs w:val="24"/>
          <w:lang w:val="en-US"/>
        </w:rPr>
        <w:t>If there are to be several parallel negotiations, for instance</w:t>
      </w:r>
      <w:r w:rsidR="00433960">
        <w:rPr>
          <w:rFonts w:cs="MyriadPro-Light"/>
          <w:szCs w:val="24"/>
          <w:lang w:val="en-US"/>
        </w:rPr>
        <w:t xml:space="preserve"> by regional international organizations – the OSZE, APEC, </w:t>
      </w:r>
      <w:r w:rsidR="009E1869">
        <w:rPr>
          <w:rFonts w:cs="MyriadPro-Light"/>
          <w:szCs w:val="24"/>
          <w:lang w:val="en-US"/>
        </w:rPr>
        <w:t xml:space="preserve">the Shanghai group, </w:t>
      </w:r>
      <w:r w:rsidR="00433960">
        <w:rPr>
          <w:rFonts w:cs="MyriadPro-Light"/>
          <w:szCs w:val="24"/>
          <w:lang w:val="en-US"/>
        </w:rPr>
        <w:t xml:space="preserve">NATO – how can the results be synthesized to generate uniform rules and a combined impact? As no one universal draft treaty is aimed at, and involvement </w:t>
      </w:r>
      <w:r w:rsidR="00AB5F5F">
        <w:rPr>
          <w:rFonts w:cs="MyriadPro-Light"/>
          <w:szCs w:val="24"/>
          <w:lang w:val="en-US"/>
        </w:rPr>
        <w:t xml:space="preserve">is </w:t>
      </w:r>
      <w:r w:rsidR="00433960">
        <w:rPr>
          <w:rFonts w:cs="MyriadPro-Light"/>
          <w:szCs w:val="24"/>
          <w:lang w:val="en-US"/>
        </w:rPr>
        <w:t>voluntary, parti</w:t>
      </w:r>
      <w:r w:rsidR="00AB5F5F">
        <w:rPr>
          <w:rFonts w:cs="MyriadPro-Light"/>
          <w:szCs w:val="24"/>
          <w:lang w:val="en-US"/>
        </w:rPr>
        <w:t>cipants should</w:t>
      </w:r>
      <w:r w:rsidR="00433960">
        <w:rPr>
          <w:rFonts w:cs="MyriadPro-Light"/>
          <w:szCs w:val="24"/>
          <w:lang w:val="en-US"/>
        </w:rPr>
        <w:t xml:space="preserve"> agree</w:t>
      </w:r>
      <w:r w:rsidR="009A11C0">
        <w:rPr>
          <w:rFonts w:cs="MyriadPro-Light"/>
          <w:szCs w:val="24"/>
          <w:lang w:val="en-US"/>
        </w:rPr>
        <w:t xml:space="preserve"> </w:t>
      </w:r>
      <w:r w:rsidR="00433960">
        <w:rPr>
          <w:rFonts w:cs="MyriadPro-Light"/>
          <w:szCs w:val="24"/>
          <w:lang w:val="en-US"/>
        </w:rPr>
        <w:t>that each one has the right to pick individual measures or code elements and enact them early and separately; there must not necessarily be packages. Could there, then, be a sequence of stages? What would be the time frame?</w:t>
      </w:r>
    </w:p>
    <w:p w:rsidR="00433960" w:rsidRDefault="00433960" w:rsidP="005956C2">
      <w:pPr>
        <w:autoSpaceDE w:val="0"/>
        <w:autoSpaceDN w:val="0"/>
        <w:adjustRightInd w:val="0"/>
        <w:spacing w:after="0" w:line="360" w:lineRule="auto"/>
        <w:rPr>
          <w:rFonts w:cs="MyriadPro-Light"/>
          <w:szCs w:val="24"/>
          <w:lang w:val="en-US"/>
        </w:rPr>
      </w:pPr>
    </w:p>
    <w:p w:rsidR="00433960" w:rsidRDefault="00433960" w:rsidP="005956C2">
      <w:pPr>
        <w:autoSpaceDE w:val="0"/>
        <w:autoSpaceDN w:val="0"/>
        <w:adjustRightInd w:val="0"/>
        <w:spacing w:after="0" w:line="360" w:lineRule="auto"/>
        <w:rPr>
          <w:rFonts w:cs="MyriadPro-Light"/>
          <w:szCs w:val="24"/>
          <w:lang w:val="en-US"/>
        </w:rPr>
      </w:pPr>
      <w:r>
        <w:rPr>
          <w:rFonts w:cs="MyriadPro-Light"/>
          <w:szCs w:val="24"/>
          <w:lang w:val="en-US"/>
        </w:rPr>
        <w:t xml:space="preserve">What we see at the present juncture is no more than work in progress. As it shapes up, problems of structure and </w:t>
      </w:r>
      <w:r w:rsidR="002C0053">
        <w:rPr>
          <w:rFonts w:cs="MyriadPro-Light"/>
          <w:szCs w:val="24"/>
          <w:lang w:val="en-US"/>
        </w:rPr>
        <w:t xml:space="preserve">content will constantly emerge. They need to be identified and researched. </w:t>
      </w:r>
      <w:r w:rsidR="00767886">
        <w:rPr>
          <w:rFonts w:cs="MyriadPro-Light"/>
          <w:szCs w:val="24"/>
          <w:lang w:val="en-US"/>
        </w:rPr>
        <w:t>This is where contributions from outside, including the academic community and dedicated NGOs need to come in</w:t>
      </w:r>
      <w:r w:rsidR="00B514C4">
        <w:rPr>
          <w:rFonts w:cs="MyriadPro-Light"/>
          <w:szCs w:val="24"/>
          <w:lang w:val="en-US"/>
        </w:rPr>
        <w:t>to play,</w:t>
      </w:r>
      <w:r w:rsidR="00767886">
        <w:rPr>
          <w:rFonts w:cs="MyriadPro-Light"/>
          <w:szCs w:val="24"/>
          <w:lang w:val="en-US"/>
        </w:rPr>
        <w:t xml:space="preserve"> to accompany and help shape the process. I see a definite role for our PMP. In our work we can contribute to a stock-taking of the multiple efforts presently under way, make an independent assessment of the ideas proffered by Governments and ex</w:t>
      </w:r>
      <w:r w:rsidR="00567FA1">
        <w:rPr>
          <w:rFonts w:cs="MyriadPro-Light"/>
          <w:szCs w:val="24"/>
          <w:lang w:val="en-US"/>
        </w:rPr>
        <w:t>plore their consensus potential.</w:t>
      </w:r>
      <w:r w:rsidR="00767886">
        <w:rPr>
          <w:rFonts w:cs="MyriadPro-Light"/>
          <w:szCs w:val="24"/>
          <w:lang w:val="en-US"/>
        </w:rPr>
        <w:t xml:space="preserve"> It may sound ambitious, but this may be </w:t>
      </w:r>
      <w:r w:rsidR="00DA5681">
        <w:rPr>
          <w:rFonts w:cs="MyriadPro-Light"/>
          <w:szCs w:val="24"/>
          <w:lang w:val="en-US"/>
        </w:rPr>
        <w:t xml:space="preserve">the </w:t>
      </w:r>
      <w:r w:rsidR="00767886">
        <w:rPr>
          <w:rFonts w:cs="MyriadPro-Light"/>
          <w:szCs w:val="24"/>
          <w:lang w:val="en-US"/>
        </w:rPr>
        <w:t xml:space="preserve">opportune moment for a cool, objective assessment of each stage of the evolving process, and </w:t>
      </w:r>
      <w:r w:rsidR="00DA5681">
        <w:rPr>
          <w:rFonts w:cs="MyriadPro-Light"/>
          <w:szCs w:val="24"/>
          <w:lang w:val="en-US"/>
        </w:rPr>
        <w:t xml:space="preserve">for </w:t>
      </w:r>
      <w:r w:rsidR="00767886">
        <w:rPr>
          <w:rFonts w:cs="MyriadPro-Light"/>
          <w:szCs w:val="24"/>
          <w:lang w:val="en-US"/>
        </w:rPr>
        <w:t>help</w:t>
      </w:r>
      <w:r w:rsidR="00DA5681">
        <w:rPr>
          <w:rFonts w:cs="MyriadPro-Light"/>
          <w:szCs w:val="24"/>
          <w:lang w:val="en-US"/>
        </w:rPr>
        <w:t>ing</w:t>
      </w:r>
      <w:r w:rsidR="00767886">
        <w:rPr>
          <w:rFonts w:cs="MyriadPro-Light"/>
          <w:szCs w:val="24"/>
          <w:lang w:val="en-US"/>
        </w:rPr>
        <w:t xml:space="preserve"> to put </w:t>
      </w:r>
      <w:r w:rsidR="00DA5681">
        <w:rPr>
          <w:rFonts w:cs="MyriadPro-Light"/>
          <w:szCs w:val="24"/>
          <w:lang w:val="en-US"/>
        </w:rPr>
        <w:t xml:space="preserve">matters </w:t>
      </w:r>
      <w:r w:rsidR="00767886">
        <w:rPr>
          <w:rFonts w:cs="MyriadPro-Light"/>
          <w:szCs w:val="24"/>
          <w:lang w:val="en-US"/>
        </w:rPr>
        <w:t>in</w:t>
      </w:r>
      <w:r w:rsidR="00DA5681">
        <w:rPr>
          <w:rFonts w:cs="MyriadPro-Light"/>
          <w:szCs w:val="24"/>
          <w:lang w:val="en-US"/>
        </w:rPr>
        <w:t>to a</w:t>
      </w:r>
      <w:r w:rsidR="00767886">
        <w:rPr>
          <w:rFonts w:cs="MyriadPro-Light"/>
          <w:szCs w:val="24"/>
          <w:lang w:val="en-US"/>
        </w:rPr>
        <w:t xml:space="preserve"> coherent and clear focus. A group as ours can help to prioritize the various planks of the negotiation, </w:t>
      </w:r>
      <w:r w:rsidR="00DA5681">
        <w:rPr>
          <w:rFonts w:cs="MyriadPro-Light"/>
          <w:szCs w:val="24"/>
          <w:lang w:val="en-US"/>
        </w:rPr>
        <w:t xml:space="preserve">to </w:t>
      </w:r>
      <w:r w:rsidR="00767886">
        <w:rPr>
          <w:rFonts w:cs="MyriadPro-Light"/>
          <w:szCs w:val="24"/>
          <w:lang w:val="en-US"/>
        </w:rPr>
        <w:t>make for more transparency in the underlying doctrines, and</w:t>
      </w:r>
      <w:r w:rsidR="00DA5681">
        <w:rPr>
          <w:rFonts w:cs="MyriadPro-Light"/>
          <w:szCs w:val="24"/>
          <w:lang w:val="en-US"/>
        </w:rPr>
        <w:t xml:space="preserve"> to </w:t>
      </w:r>
      <w:r w:rsidR="00767886">
        <w:rPr>
          <w:rFonts w:cs="MyriadPro-Light"/>
          <w:szCs w:val="24"/>
          <w:lang w:val="en-US"/>
        </w:rPr>
        <w:t>press toward better mechanisms of international cooperation and crisis management. We may also be able to make a we</w:t>
      </w:r>
      <w:r w:rsidR="0007286E">
        <w:rPr>
          <w:rFonts w:cs="MyriadPro-Light"/>
          <w:szCs w:val="24"/>
          <w:lang w:val="en-US"/>
        </w:rPr>
        <w:t>ll</w:t>
      </w:r>
      <w:r w:rsidR="00767886">
        <w:rPr>
          <w:rFonts w:cs="MyriadPro-Light"/>
          <w:szCs w:val="24"/>
          <w:lang w:val="en-US"/>
        </w:rPr>
        <w:t xml:space="preserve">-reflected input </w:t>
      </w:r>
      <w:r w:rsidR="0007286E">
        <w:rPr>
          <w:rFonts w:cs="MyriadPro-Light"/>
          <w:szCs w:val="24"/>
          <w:lang w:val="en-US"/>
        </w:rPr>
        <w:t xml:space="preserve">into the pending issues of developing international law for the </w:t>
      </w:r>
      <w:r w:rsidR="0007286E">
        <w:rPr>
          <w:rFonts w:cs="MyriadPro-Light"/>
          <w:szCs w:val="24"/>
          <w:lang w:val="en-US"/>
        </w:rPr>
        <w:lastRenderedPageBreak/>
        <w:t xml:space="preserve">requirements of the cyber age, as we </w:t>
      </w:r>
      <w:r w:rsidR="00A07DAE">
        <w:rPr>
          <w:rFonts w:cs="MyriadPro-Light"/>
          <w:szCs w:val="24"/>
          <w:lang w:val="en-US"/>
        </w:rPr>
        <w:t xml:space="preserve">have </w:t>
      </w:r>
      <w:r w:rsidR="0007286E">
        <w:rPr>
          <w:rFonts w:cs="MyriadPro-Light"/>
          <w:szCs w:val="24"/>
          <w:lang w:val="en-US"/>
        </w:rPr>
        <w:t>already begun to do in several of our documents. In short, a creative input of the PMP could be a v</w:t>
      </w:r>
      <w:r w:rsidR="00482C57">
        <w:rPr>
          <w:rFonts w:cs="MyriadPro-Light"/>
          <w:szCs w:val="24"/>
          <w:lang w:val="en-US"/>
        </w:rPr>
        <w:t>ery apposite contribution in</w:t>
      </w:r>
      <w:r w:rsidR="0007286E">
        <w:rPr>
          <w:rFonts w:cs="MyriadPro-Light"/>
          <w:szCs w:val="24"/>
          <w:lang w:val="en-US"/>
        </w:rPr>
        <w:t xml:space="preserve"> furtherance of our concept of </w:t>
      </w:r>
      <w:proofErr w:type="spellStart"/>
      <w:r w:rsidR="0007286E">
        <w:rPr>
          <w:rFonts w:cs="MyriadPro-Light"/>
          <w:szCs w:val="24"/>
          <w:lang w:val="en-US"/>
        </w:rPr>
        <w:t>cyberpeace</w:t>
      </w:r>
      <w:proofErr w:type="spellEnd"/>
      <w:r w:rsidR="0007286E">
        <w:rPr>
          <w:rFonts w:cs="MyriadPro-Light"/>
          <w:szCs w:val="24"/>
          <w:lang w:val="en-US"/>
        </w:rPr>
        <w:t xml:space="preserve">. </w:t>
      </w:r>
    </w:p>
    <w:p w:rsidR="00F74496" w:rsidRDefault="00F74496" w:rsidP="005956C2">
      <w:pPr>
        <w:autoSpaceDE w:val="0"/>
        <w:autoSpaceDN w:val="0"/>
        <w:adjustRightInd w:val="0"/>
        <w:spacing w:after="0" w:line="360" w:lineRule="auto"/>
        <w:rPr>
          <w:rFonts w:cs="MyriadPro-Light"/>
          <w:szCs w:val="24"/>
          <w:lang w:val="en-US"/>
        </w:rPr>
      </w:pPr>
    </w:p>
    <w:p w:rsidR="00F74496" w:rsidRDefault="00F74496" w:rsidP="005956C2">
      <w:pPr>
        <w:autoSpaceDE w:val="0"/>
        <w:autoSpaceDN w:val="0"/>
        <w:adjustRightInd w:val="0"/>
        <w:spacing w:after="0" w:line="360" w:lineRule="auto"/>
        <w:rPr>
          <w:rFonts w:cs="MyriadPro-Light"/>
          <w:szCs w:val="24"/>
          <w:lang w:val="en-US"/>
        </w:rPr>
      </w:pPr>
      <w:r>
        <w:rPr>
          <w:rFonts w:cs="MyriadPro-Light"/>
          <w:szCs w:val="24"/>
          <w:lang w:val="en-US"/>
        </w:rPr>
        <w:t>An issue, already touched upon and needing penetrating thought, and also discussion within our Group</w:t>
      </w:r>
      <w:r w:rsidR="000A279A">
        <w:rPr>
          <w:rFonts w:cs="MyriadPro-Light"/>
          <w:szCs w:val="24"/>
          <w:lang w:val="en-US"/>
        </w:rPr>
        <w:t>,</w:t>
      </w:r>
      <w:r>
        <w:rPr>
          <w:rFonts w:cs="MyriadPro-Light"/>
          <w:szCs w:val="24"/>
          <w:lang w:val="en-US"/>
        </w:rPr>
        <w:t xml:space="preserve"> is the identification of an optimum venue to host the (hopefully) forthc</w:t>
      </w:r>
      <w:r w:rsidR="00B8298C">
        <w:rPr>
          <w:rFonts w:cs="MyriadPro-Light"/>
          <w:szCs w:val="24"/>
          <w:lang w:val="en-US"/>
        </w:rPr>
        <w:t xml:space="preserve">oming negotiations on CBMs or </w:t>
      </w:r>
      <w:r>
        <w:rPr>
          <w:rFonts w:cs="MyriadPro-Light"/>
          <w:szCs w:val="24"/>
          <w:lang w:val="en-US"/>
        </w:rPr>
        <w:t>Code</w:t>
      </w:r>
      <w:r w:rsidR="00B8298C">
        <w:rPr>
          <w:rFonts w:cs="MyriadPro-Light"/>
          <w:szCs w:val="24"/>
          <w:lang w:val="en-US"/>
        </w:rPr>
        <w:t>s</w:t>
      </w:r>
      <w:r>
        <w:rPr>
          <w:rFonts w:cs="MyriadPro-Light"/>
          <w:szCs w:val="24"/>
          <w:lang w:val="en-US"/>
        </w:rPr>
        <w:t xml:space="preserve"> of Conduct. </w:t>
      </w:r>
      <w:r w:rsidR="000A279A">
        <w:rPr>
          <w:rFonts w:cs="MyriadPro-Light"/>
          <w:szCs w:val="24"/>
          <w:lang w:val="en-US"/>
        </w:rPr>
        <w:t xml:space="preserve">I do not </w:t>
      </w:r>
      <w:r w:rsidR="00B8298C">
        <w:rPr>
          <w:rFonts w:cs="MyriadPro-Light"/>
          <w:szCs w:val="24"/>
          <w:lang w:val="en-US"/>
        </w:rPr>
        <w:t xml:space="preserve">want to </w:t>
      </w:r>
      <w:r w:rsidR="003051BF">
        <w:rPr>
          <w:rFonts w:cs="MyriadPro-Light"/>
          <w:szCs w:val="24"/>
          <w:lang w:val="en-US"/>
        </w:rPr>
        <w:t>preempt that debate, but f</w:t>
      </w:r>
      <w:r w:rsidR="000A279A">
        <w:rPr>
          <w:rFonts w:cs="MyriadPro-Light"/>
          <w:szCs w:val="24"/>
          <w:lang w:val="en-US"/>
        </w:rPr>
        <w:t xml:space="preserve">rom the universal perspective of our PMP, a </w:t>
      </w:r>
      <w:r w:rsidR="003051BF">
        <w:rPr>
          <w:rFonts w:cs="MyriadPro-Light"/>
          <w:szCs w:val="24"/>
          <w:lang w:val="en-US"/>
        </w:rPr>
        <w:t xml:space="preserve">single </w:t>
      </w:r>
      <w:r w:rsidR="000A279A">
        <w:rPr>
          <w:rFonts w:cs="MyriadPro-Light"/>
          <w:szCs w:val="24"/>
          <w:lang w:val="en-US"/>
        </w:rPr>
        <w:t xml:space="preserve">forum offering such universal perspective would certainly be the most adequate. On the other hand, preliminary regional endeavors are already under way, and their dynamics should be used. The OSCE, although it has no </w:t>
      </w:r>
      <w:r w:rsidR="008134C1">
        <w:rPr>
          <w:rFonts w:cs="MyriadPro-Light"/>
          <w:szCs w:val="24"/>
          <w:lang w:val="en-US"/>
        </w:rPr>
        <w:t xml:space="preserve">recent </w:t>
      </w:r>
      <w:r w:rsidR="000A279A">
        <w:rPr>
          <w:rFonts w:cs="MyriadPro-Light"/>
          <w:szCs w:val="24"/>
          <w:lang w:val="en-US"/>
        </w:rPr>
        <w:t>treaty-negotiating recor</w:t>
      </w:r>
      <w:r w:rsidR="00024803">
        <w:rPr>
          <w:rFonts w:cs="MyriadPro-Light"/>
          <w:szCs w:val="24"/>
          <w:lang w:val="en-US"/>
        </w:rPr>
        <w:t xml:space="preserve">d, has the advantage of comprising </w:t>
      </w:r>
      <w:r w:rsidR="000A279A">
        <w:rPr>
          <w:rFonts w:cs="MyriadPro-Light"/>
          <w:szCs w:val="24"/>
          <w:lang w:val="en-US"/>
        </w:rPr>
        <w:t xml:space="preserve">States on the East-West axis, some of which have distinct </w:t>
      </w:r>
      <w:proofErr w:type="spellStart"/>
      <w:r w:rsidR="000A279A">
        <w:rPr>
          <w:rFonts w:cs="MyriadPro-Light"/>
          <w:szCs w:val="24"/>
          <w:lang w:val="en-US"/>
        </w:rPr>
        <w:t>cybersecurity</w:t>
      </w:r>
      <w:proofErr w:type="spellEnd"/>
      <w:r w:rsidR="000A279A">
        <w:rPr>
          <w:rFonts w:cs="MyriadPro-Light"/>
          <w:szCs w:val="24"/>
          <w:lang w:val="en-US"/>
        </w:rPr>
        <w:t xml:space="preserve"> problems. Confidence is particularly needed in such environment.</w:t>
      </w:r>
      <w:r w:rsidR="00891002">
        <w:rPr>
          <w:rFonts w:cs="MyriadPro-Light"/>
          <w:szCs w:val="24"/>
          <w:lang w:val="en-US"/>
        </w:rPr>
        <w:t xml:space="preserve"> </w:t>
      </w:r>
      <w:r w:rsidR="000A279A">
        <w:rPr>
          <w:rFonts w:cs="MyriadPro-Light"/>
          <w:szCs w:val="24"/>
          <w:lang w:val="en-US"/>
        </w:rPr>
        <w:t xml:space="preserve">If a regional approach prevails, some coordinating mechanism should be developed to avoid contrasting or contradictory standard-setting. If one wishes to avoid the heavy UN machinery, an autonomous Conference of States, perhaps serviced by the UN, would be a good bet. I have never hidden my preference for the ITU as the principal venue and coordinating instance in the </w:t>
      </w:r>
      <w:proofErr w:type="spellStart"/>
      <w:r w:rsidR="000A279A">
        <w:rPr>
          <w:rFonts w:cs="MyriadPro-Light"/>
          <w:szCs w:val="24"/>
          <w:lang w:val="en-US"/>
        </w:rPr>
        <w:t>cybersecurity</w:t>
      </w:r>
      <w:proofErr w:type="spellEnd"/>
      <w:r w:rsidR="000A279A">
        <w:rPr>
          <w:rFonts w:cs="MyriadPro-Light"/>
          <w:szCs w:val="24"/>
          <w:lang w:val="en-US"/>
        </w:rPr>
        <w:t xml:space="preserve"> domain</w:t>
      </w:r>
      <w:r w:rsidR="000A279A">
        <w:rPr>
          <w:rStyle w:val="Refdenotaalpie"/>
          <w:rFonts w:cs="MyriadPro-Light"/>
          <w:szCs w:val="24"/>
          <w:lang w:val="en-US"/>
        </w:rPr>
        <w:footnoteReference w:id="29"/>
      </w:r>
      <w:r w:rsidR="00891002">
        <w:rPr>
          <w:rFonts w:cs="MyriadPro-Light"/>
          <w:szCs w:val="24"/>
          <w:lang w:val="en-US"/>
        </w:rPr>
        <w:t>. But in other contexts I have also thrown out the idea of entrusting the Conference on Disarmament with its perennial negotiating experience in the security domain</w:t>
      </w:r>
      <w:r w:rsidR="00B94941">
        <w:rPr>
          <w:rStyle w:val="Refdenotaalpie"/>
          <w:rFonts w:cs="MyriadPro-Light"/>
          <w:szCs w:val="24"/>
          <w:lang w:val="en-US"/>
        </w:rPr>
        <w:footnoteReference w:id="30"/>
      </w:r>
      <w:r w:rsidR="00891002">
        <w:rPr>
          <w:rFonts w:cs="MyriadPro-Light"/>
          <w:szCs w:val="24"/>
          <w:lang w:val="en-US"/>
        </w:rPr>
        <w:t>. And has anybody probed the suitability of the Council of Europe</w:t>
      </w:r>
      <w:r w:rsidR="00D72795">
        <w:rPr>
          <w:rFonts w:cs="MyriadPro-Light"/>
          <w:szCs w:val="24"/>
          <w:lang w:val="en-US"/>
        </w:rPr>
        <w:t xml:space="preserve">, its relative geographical limitation </w:t>
      </w:r>
      <w:proofErr w:type="spellStart"/>
      <w:r w:rsidR="00D72795">
        <w:rPr>
          <w:rFonts w:cs="MyriadPro-Light"/>
          <w:szCs w:val="24"/>
          <w:lang w:val="en-US"/>
        </w:rPr>
        <w:t>notwwithstanding</w:t>
      </w:r>
      <w:proofErr w:type="spellEnd"/>
      <w:r w:rsidR="00891002">
        <w:rPr>
          <w:rFonts w:cs="MyriadPro-Light"/>
          <w:szCs w:val="24"/>
          <w:lang w:val="en-US"/>
        </w:rPr>
        <w:t>? The political implications and acceptance potential of an</w:t>
      </w:r>
      <w:r w:rsidR="00EC4CD5">
        <w:rPr>
          <w:rFonts w:cs="MyriadPro-Light"/>
          <w:szCs w:val="24"/>
          <w:lang w:val="en-US"/>
        </w:rPr>
        <w:t>y of these options have to be weigh</w:t>
      </w:r>
      <w:r w:rsidR="00024803">
        <w:rPr>
          <w:rFonts w:cs="MyriadPro-Light"/>
          <w:szCs w:val="24"/>
          <w:lang w:val="en-US"/>
        </w:rPr>
        <w:t>ed carefully, and experts on</w:t>
      </w:r>
      <w:r w:rsidR="00EC4CD5">
        <w:rPr>
          <w:rFonts w:cs="MyriadPro-Light"/>
          <w:szCs w:val="24"/>
          <w:lang w:val="en-US"/>
        </w:rPr>
        <w:t xml:space="preserve"> international machinery are invited to provide their input. </w:t>
      </w:r>
    </w:p>
    <w:p w:rsidR="00506265" w:rsidRDefault="00506265" w:rsidP="005956C2">
      <w:pPr>
        <w:autoSpaceDE w:val="0"/>
        <w:autoSpaceDN w:val="0"/>
        <w:adjustRightInd w:val="0"/>
        <w:spacing w:after="0" w:line="360" w:lineRule="auto"/>
        <w:rPr>
          <w:rFonts w:cs="MyriadPro-Light"/>
          <w:szCs w:val="24"/>
          <w:lang w:val="en-US"/>
        </w:rPr>
      </w:pPr>
    </w:p>
    <w:p w:rsidR="00506265" w:rsidRDefault="00506265" w:rsidP="005956C2">
      <w:pPr>
        <w:autoSpaceDE w:val="0"/>
        <w:autoSpaceDN w:val="0"/>
        <w:adjustRightInd w:val="0"/>
        <w:spacing w:after="0" w:line="360" w:lineRule="auto"/>
        <w:rPr>
          <w:rFonts w:cs="MyriadPro-Light"/>
          <w:szCs w:val="24"/>
          <w:lang w:val="en-US"/>
        </w:rPr>
      </w:pPr>
    </w:p>
    <w:p w:rsidR="0007286E" w:rsidRDefault="0007286E" w:rsidP="005956C2">
      <w:pPr>
        <w:autoSpaceDE w:val="0"/>
        <w:autoSpaceDN w:val="0"/>
        <w:adjustRightInd w:val="0"/>
        <w:spacing w:after="0" w:line="360" w:lineRule="auto"/>
        <w:rPr>
          <w:rFonts w:cs="MyriadPro-Light"/>
          <w:szCs w:val="24"/>
          <w:lang w:val="en-US"/>
        </w:rPr>
      </w:pPr>
    </w:p>
    <w:p w:rsidR="0007286E" w:rsidRDefault="0007286E" w:rsidP="005956C2">
      <w:pPr>
        <w:autoSpaceDE w:val="0"/>
        <w:autoSpaceDN w:val="0"/>
        <w:adjustRightInd w:val="0"/>
        <w:spacing w:after="0" w:line="360" w:lineRule="auto"/>
        <w:rPr>
          <w:rFonts w:cs="MyriadPro-Light"/>
          <w:szCs w:val="24"/>
          <w:lang w:val="en-US"/>
        </w:rPr>
      </w:pPr>
    </w:p>
    <w:p w:rsidR="002C0053" w:rsidRPr="005956C2" w:rsidRDefault="002C0053" w:rsidP="005956C2">
      <w:pPr>
        <w:autoSpaceDE w:val="0"/>
        <w:autoSpaceDN w:val="0"/>
        <w:adjustRightInd w:val="0"/>
        <w:spacing w:after="0" w:line="360" w:lineRule="auto"/>
        <w:rPr>
          <w:rFonts w:cs="MyriadPro-Light"/>
          <w:szCs w:val="24"/>
          <w:lang w:val="en-US"/>
        </w:rPr>
      </w:pPr>
    </w:p>
    <w:p w:rsidR="000272CA" w:rsidRPr="00073F55" w:rsidRDefault="000272CA" w:rsidP="00EF598E">
      <w:pPr>
        <w:autoSpaceDE w:val="0"/>
        <w:autoSpaceDN w:val="0"/>
        <w:adjustRightInd w:val="0"/>
        <w:spacing w:after="0" w:line="240" w:lineRule="auto"/>
        <w:rPr>
          <w:rFonts w:cs="MyriadPro-Light"/>
          <w:sz w:val="20"/>
          <w:lang w:val="en-US"/>
        </w:rPr>
      </w:pPr>
    </w:p>
    <w:p w:rsidR="006E6353" w:rsidRDefault="006E6353" w:rsidP="006E6353">
      <w:pPr>
        <w:autoSpaceDE w:val="0"/>
        <w:autoSpaceDN w:val="0"/>
        <w:adjustRightInd w:val="0"/>
        <w:spacing w:after="0" w:line="360" w:lineRule="auto"/>
        <w:rPr>
          <w:rFonts w:cs="MyriadPro-Light"/>
          <w:szCs w:val="24"/>
          <w:lang w:val="en-US"/>
        </w:rPr>
      </w:pPr>
    </w:p>
    <w:sectPr w:rsidR="006E6353" w:rsidSect="00724291">
      <w:pgSz w:w="11906" w:h="16838"/>
      <w:pgMar w:top="1417" w:right="1701" w:bottom="1417" w:left="1701" w:header="708" w:footer="708" w:gutter="0"/>
      <w:pgNumType w:start="2"/>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7813" w:rsidRDefault="00F77813" w:rsidP="00EC3D33">
      <w:pPr>
        <w:spacing w:after="0" w:line="240" w:lineRule="auto"/>
      </w:pPr>
      <w:r>
        <w:separator/>
      </w:r>
    </w:p>
  </w:endnote>
  <w:endnote w:type="continuationSeparator" w:id="0">
    <w:p w:rsidR="00F77813" w:rsidRDefault="00F77813" w:rsidP="00EC3D3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News Gothic MT">
    <w:panose1 w:val="020B0504020203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MyriadPro-Light">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TrebuchetMS">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7813" w:rsidRDefault="00F77813" w:rsidP="00EC3D33">
      <w:pPr>
        <w:spacing w:after="0" w:line="240" w:lineRule="auto"/>
      </w:pPr>
      <w:r>
        <w:separator/>
      </w:r>
    </w:p>
  </w:footnote>
  <w:footnote w:type="continuationSeparator" w:id="0">
    <w:p w:rsidR="00F77813" w:rsidRDefault="00F77813" w:rsidP="00EC3D33">
      <w:pPr>
        <w:spacing w:after="0" w:line="240" w:lineRule="auto"/>
      </w:pPr>
      <w:r>
        <w:continuationSeparator/>
      </w:r>
    </w:p>
  </w:footnote>
  <w:footnote w:id="1">
    <w:p w:rsidR="00D470D9" w:rsidRPr="00D470D9" w:rsidRDefault="00D470D9">
      <w:pPr>
        <w:pStyle w:val="Textonotapie"/>
        <w:rPr>
          <w:lang w:val="en-US"/>
        </w:rPr>
      </w:pPr>
      <w:r>
        <w:rPr>
          <w:rStyle w:val="Refdenotaalpie"/>
        </w:rPr>
        <w:footnoteRef/>
      </w:r>
      <w:r w:rsidRPr="00D470D9">
        <w:rPr>
          <w:lang w:val="en-US"/>
        </w:rPr>
        <w:t xml:space="preserve"> </w:t>
      </w:r>
      <w:proofErr w:type="gramStart"/>
      <w:r w:rsidRPr="00D470D9">
        <w:rPr>
          <w:lang w:val="en-US"/>
        </w:rPr>
        <w:t>Chairman, Permanent Monitoring Panel on Information Security, World Federation of Scientists, Ambassador of Germany (ret.).</w:t>
      </w:r>
      <w:proofErr w:type="gramEnd"/>
      <w:r w:rsidRPr="00D470D9">
        <w:rPr>
          <w:lang w:val="en-US"/>
        </w:rPr>
        <w:t xml:space="preserve"> </w:t>
      </w:r>
      <w:r>
        <w:rPr>
          <w:lang w:val="en-US"/>
        </w:rPr>
        <w:t>Presentation given at the 45</w:t>
      </w:r>
      <w:r w:rsidRPr="00D470D9">
        <w:rPr>
          <w:vertAlign w:val="superscript"/>
          <w:lang w:val="en-US"/>
        </w:rPr>
        <w:t>th</w:t>
      </w:r>
      <w:r>
        <w:rPr>
          <w:lang w:val="en-US"/>
        </w:rPr>
        <w:t xml:space="preserve"> Session of the International Seminars on Planetar</w:t>
      </w:r>
      <w:r w:rsidR="00340030">
        <w:rPr>
          <w:lang w:val="en-US"/>
        </w:rPr>
        <w:t xml:space="preserve">y Emergencies, </w:t>
      </w:r>
      <w:proofErr w:type="spellStart"/>
      <w:r w:rsidR="00340030">
        <w:rPr>
          <w:lang w:val="en-US"/>
        </w:rPr>
        <w:t>Erice</w:t>
      </w:r>
      <w:proofErr w:type="spellEnd"/>
      <w:r w:rsidR="00340030">
        <w:rPr>
          <w:lang w:val="en-US"/>
        </w:rPr>
        <w:t>, Sicily, 22</w:t>
      </w:r>
      <w:r>
        <w:rPr>
          <w:lang w:val="en-US"/>
        </w:rPr>
        <w:t xml:space="preserve"> August 2012</w:t>
      </w:r>
    </w:p>
  </w:footnote>
  <w:footnote w:id="2">
    <w:p w:rsidR="00A60E4E" w:rsidRPr="00340030" w:rsidRDefault="00A60E4E">
      <w:pPr>
        <w:pStyle w:val="Textonotapie"/>
        <w:rPr>
          <w:lang w:val="en-US"/>
        </w:rPr>
      </w:pPr>
      <w:r>
        <w:rPr>
          <w:rStyle w:val="Refdenotaalpie"/>
        </w:rPr>
        <w:footnoteRef/>
      </w:r>
      <w:r w:rsidRPr="00340030">
        <w:rPr>
          <w:lang w:val="en-US"/>
        </w:rPr>
        <w:t xml:space="preserve"> </w:t>
      </w:r>
      <w:r w:rsidRPr="00340030">
        <w:rPr>
          <w:rFonts w:cs="Times New Roman"/>
          <w:bCs/>
          <w:lang w:val="en-US"/>
        </w:rPr>
        <w:t>Document WSIS-03/GENEVA/CONTR/6-E</w:t>
      </w:r>
      <w:proofErr w:type="gramStart"/>
      <w:r w:rsidR="00BC491E" w:rsidRPr="00340030">
        <w:rPr>
          <w:rFonts w:cs="Times New Roman"/>
          <w:bCs/>
          <w:lang w:val="en-US"/>
        </w:rPr>
        <w:t>,,</w:t>
      </w:r>
      <w:proofErr w:type="gramEnd"/>
      <w:r w:rsidR="00BC491E" w:rsidRPr="00340030">
        <w:rPr>
          <w:rFonts w:cs="Times New Roman"/>
          <w:bCs/>
          <w:lang w:val="en-US"/>
        </w:rPr>
        <w:t xml:space="preserve"> </w:t>
      </w:r>
      <w:r w:rsidR="00591A5E">
        <w:fldChar w:fldCharType="begin"/>
      </w:r>
      <w:r w:rsidR="00591A5E" w:rsidRPr="005417A6">
        <w:rPr>
          <w:lang w:val="en-US"/>
        </w:rPr>
        <w:instrText>HYPERLINK "http://www.itu.int/dms_pub/itu-s/md/.../S03-WSIS-C-0006!!PDF-E.pdf"</w:instrText>
      </w:r>
      <w:r w:rsidR="00591A5E">
        <w:fldChar w:fldCharType="separate"/>
      </w:r>
      <w:r w:rsidR="00BC491E" w:rsidRPr="00340030">
        <w:rPr>
          <w:rStyle w:val="Hipervnculo"/>
          <w:rFonts w:cs="Calibri"/>
          <w:color w:val="auto"/>
          <w:u w:val="none"/>
          <w:lang w:val="en-US"/>
        </w:rPr>
        <w:t>www.itu.int/dms_pub/itu-s/md/.../S03-WSIS-C-0006!!PDF-E.pdf</w:t>
      </w:r>
      <w:r w:rsidR="00591A5E">
        <w:fldChar w:fldCharType="end"/>
      </w:r>
      <w:r w:rsidR="00BC491E" w:rsidRPr="00340030">
        <w:rPr>
          <w:rFonts w:cs="Calibri"/>
          <w:lang w:val="en-US"/>
        </w:rPr>
        <w:t>,, also at</w:t>
      </w:r>
      <w:r w:rsidR="00AB1907" w:rsidRPr="00340030">
        <w:rPr>
          <w:rFonts w:cs="Times New Roman"/>
          <w:bCs/>
          <w:lang w:val="en-US"/>
        </w:rPr>
        <w:t xml:space="preserve"> </w:t>
      </w:r>
      <w:r w:rsidR="00AB1907" w:rsidRPr="00340030">
        <w:rPr>
          <w:lang w:val="en-US"/>
        </w:rPr>
        <w:t>www.unibw.de/infosecur</w:t>
      </w:r>
    </w:p>
  </w:footnote>
  <w:footnote w:id="3">
    <w:p w:rsidR="00A60E4E" w:rsidRPr="00891002" w:rsidRDefault="00A60E4E">
      <w:pPr>
        <w:pStyle w:val="Textonotapie"/>
        <w:rPr>
          <w:lang w:val="en-US"/>
        </w:rPr>
      </w:pPr>
      <w:r>
        <w:rPr>
          <w:rStyle w:val="Refdenotaalpie"/>
        </w:rPr>
        <w:footnoteRef/>
      </w:r>
      <w:r w:rsidRPr="00891002">
        <w:rPr>
          <w:lang w:val="en-US"/>
        </w:rPr>
        <w:t xml:space="preserve"> UNITAR</w:t>
      </w:r>
      <w:r w:rsidR="00BC4268" w:rsidRPr="00891002">
        <w:rPr>
          <w:lang w:val="en-US"/>
        </w:rPr>
        <w:t>, Geneva</w:t>
      </w:r>
      <w:r w:rsidRPr="00891002">
        <w:rPr>
          <w:lang w:val="en-US"/>
        </w:rPr>
        <w:t xml:space="preserve"> 2005, www.in.int/kamal/the_law_of_cyber_space</w:t>
      </w:r>
    </w:p>
  </w:footnote>
  <w:footnote w:id="4">
    <w:p w:rsidR="00A60E4E" w:rsidRPr="00A60E4E" w:rsidRDefault="00A60E4E">
      <w:pPr>
        <w:pStyle w:val="Textonotapie"/>
        <w:rPr>
          <w:lang w:val="en-US"/>
        </w:rPr>
      </w:pPr>
      <w:r>
        <w:rPr>
          <w:rStyle w:val="Refdenotaalpie"/>
        </w:rPr>
        <w:footnoteRef/>
      </w:r>
      <w:r w:rsidRPr="00A60E4E">
        <w:rPr>
          <w:lang w:val="en-US"/>
        </w:rPr>
        <w:t xml:space="preserve"> </w:t>
      </w:r>
      <w:proofErr w:type="gramStart"/>
      <w:r w:rsidRPr="00A60E4E">
        <w:rPr>
          <w:lang w:val="en-US"/>
        </w:rPr>
        <w:t>Res.</w:t>
      </w:r>
      <w:proofErr w:type="gramEnd"/>
      <w:r w:rsidRPr="00A60E4E">
        <w:rPr>
          <w:lang w:val="en-US"/>
        </w:rPr>
        <w:t xml:space="preserve"> </w:t>
      </w:r>
      <w:proofErr w:type="gramStart"/>
      <w:r w:rsidRPr="00A60E4E">
        <w:rPr>
          <w:lang w:val="en-US"/>
        </w:rPr>
        <w:t>A/53/70, annually up to A/65/41</w:t>
      </w:r>
      <w:r w:rsidR="00737216">
        <w:rPr>
          <w:lang w:val="en-US"/>
        </w:rPr>
        <w:t>.</w:t>
      </w:r>
      <w:proofErr w:type="gramEnd"/>
      <w:r w:rsidR="00737216">
        <w:rPr>
          <w:lang w:val="en-US"/>
        </w:rPr>
        <w:t xml:space="preserve"> The Russian initiative has for many years benefitted from the leadership of a member of our PMP, Ambassador </w:t>
      </w:r>
      <w:proofErr w:type="spellStart"/>
      <w:r w:rsidR="00737216">
        <w:rPr>
          <w:lang w:val="en-US"/>
        </w:rPr>
        <w:t>Andreij</w:t>
      </w:r>
      <w:proofErr w:type="spellEnd"/>
      <w:r w:rsidR="00737216">
        <w:rPr>
          <w:lang w:val="en-US"/>
        </w:rPr>
        <w:t xml:space="preserve"> </w:t>
      </w:r>
      <w:proofErr w:type="spellStart"/>
      <w:r w:rsidR="00737216">
        <w:rPr>
          <w:lang w:val="en-US"/>
        </w:rPr>
        <w:t>Krutskih</w:t>
      </w:r>
      <w:proofErr w:type="spellEnd"/>
    </w:p>
  </w:footnote>
  <w:footnote w:id="5">
    <w:p w:rsidR="00A74A16" w:rsidRPr="00A74A16" w:rsidRDefault="00A74A16">
      <w:pPr>
        <w:pStyle w:val="Textonotapie"/>
        <w:rPr>
          <w:lang w:val="en-US"/>
        </w:rPr>
      </w:pPr>
      <w:r>
        <w:rPr>
          <w:rStyle w:val="Refdenotaalpie"/>
        </w:rPr>
        <w:footnoteRef/>
      </w:r>
      <w:r w:rsidRPr="00A74A16">
        <w:rPr>
          <w:lang w:val="en-US"/>
        </w:rPr>
        <w:t xml:space="preserve"> </w:t>
      </w:r>
      <w:r w:rsidRPr="000765B5">
        <w:rPr>
          <w:lang w:val="en-US"/>
        </w:rPr>
        <w:t xml:space="preserve">The need for a normative effort is now universally acknowledged. Examples: Michael A. </w:t>
      </w:r>
      <w:proofErr w:type="spellStart"/>
      <w:r w:rsidRPr="000765B5">
        <w:rPr>
          <w:lang w:val="en-US"/>
        </w:rPr>
        <w:t>Mazarr</w:t>
      </w:r>
      <w:proofErr w:type="spellEnd"/>
      <w:r w:rsidRPr="000765B5">
        <w:rPr>
          <w:lang w:val="en-US"/>
        </w:rPr>
        <w:t xml:space="preserve"> “Rivalry’s New Face”, SURVIVAL</w:t>
      </w:r>
      <w:r w:rsidR="000765B5" w:rsidRPr="000765B5">
        <w:rPr>
          <w:lang w:val="en-US"/>
        </w:rPr>
        <w:t>, vol. 54, August-September 2012, p. 100: “A key priority should be building norms, agreements and institutions that keep various agents locked into stable habits”. And the search for formats to foment norm-building was also a recurrent theme in the cyber session of the Shangri-La Dialogue, IISS news, July 2012.</w:t>
      </w:r>
    </w:p>
  </w:footnote>
  <w:footnote w:id="6">
    <w:p w:rsidR="00506265" w:rsidRPr="00B20FEE" w:rsidRDefault="003811BD" w:rsidP="00506265">
      <w:pPr>
        <w:autoSpaceDE w:val="0"/>
        <w:autoSpaceDN w:val="0"/>
        <w:adjustRightInd w:val="0"/>
        <w:spacing w:after="0" w:line="240" w:lineRule="auto"/>
        <w:rPr>
          <w:rFonts w:cs="Calibri"/>
          <w:sz w:val="20"/>
          <w:lang w:val="en-US"/>
        </w:rPr>
      </w:pPr>
      <w:r>
        <w:rPr>
          <w:rStyle w:val="Refdenotaalpie"/>
        </w:rPr>
        <w:footnoteRef/>
      </w:r>
      <w:r w:rsidRPr="00EB4E80">
        <w:rPr>
          <w:lang w:val="en-US"/>
        </w:rPr>
        <w:t xml:space="preserve"> </w:t>
      </w:r>
      <w:r w:rsidR="00506265" w:rsidRPr="00B20FEE">
        <w:rPr>
          <w:rFonts w:cs="Calibri"/>
          <w:sz w:val="20"/>
          <w:lang w:val="en-US"/>
        </w:rPr>
        <w:t>“UN Chief proposes int’l accord to prevent cyber war,” 31 Jan. 2010,</w:t>
      </w:r>
    </w:p>
    <w:p w:rsidR="003811BD" w:rsidRPr="00B20FEE" w:rsidRDefault="00506265" w:rsidP="00506265">
      <w:pPr>
        <w:pStyle w:val="Textonotapie"/>
        <w:rPr>
          <w:lang w:val="en-US"/>
        </w:rPr>
      </w:pPr>
      <w:r w:rsidRPr="00B20FEE">
        <w:rPr>
          <w:rFonts w:cs="Calibri"/>
          <w:lang w:val="en-US"/>
        </w:rPr>
        <w:t>www.thepoc.net/breaking-news/world/3930-un-chief-proposes-intl-a.</w:t>
      </w:r>
    </w:p>
  </w:footnote>
  <w:footnote w:id="7">
    <w:p w:rsidR="00B20FEE" w:rsidRPr="00B20FEE" w:rsidRDefault="00D62FD5" w:rsidP="00B20FE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5" w:line="240" w:lineRule="auto"/>
        <w:rPr>
          <w:rFonts w:eastAsia="Times New Roman" w:cs="Courier New"/>
          <w:sz w:val="20"/>
          <w:lang w:val="en-US" w:eastAsia="es-ES"/>
        </w:rPr>
      </w:pPr>
      <w:r w:rsidRPr="00B20FEE">
        <w:rPr>
          <w:rStyle w:val="Refdenotaalpie"/>
          <w:sz w:val="20"/>
        </w:rPr>
        <w:footnoteRef/>
      </w:r>
      <w:r w:rsidRPr="00B20FEE">
        <w:rPr>
          <w:sz w:val="20"/>
          <w:lang w:val="en-US"/>
        </w:rPr>
        <w:t xml:space="preserve"> The Federation of Russia has, in 2011, developed a new draft for a comprehensive tre</w:t>
      </w:r>
      <w:r w:rsidR="00B20FEE" w:rsidRPr="00B20FEE">
        <w:rPr>
          <w:sz w:val="20"/>
          <w:lang w:val="en-US"/>
        </w:rPr>
        <w:t>aty, although apparently</w:t>
      </w:r>
      <w:r w:rsidRPr="00B20FEE">
        <w:rPr>
          <w:sz w:val="20"/>
          <w:lang w:val="en-US"/>
        </w:rPr>
        <w:t xml:space="preserve"> it has not bee</w:t>
      </w:r>
      <w:r w:rsidR="00B20FEE" w:rsidRPr="00B20FEE">
        <w:rPr>
          <w:sz w:val="20"/>
          <w:lang w:val="en-US"/>
        </w:rPr>
        <w:t xml:space="preserve">n officially submitted to </w:t>
      </w:r>
      <w:r w:rsidR="00B20FEE">
        <w:rPr>
          <w:sz w:val="20"/>
          <w:lang w:val="en-US"/>
        </w:rPr>
        <w:t>the UN</w:t>
      </w:r>
      <w:r w:rsidR="00B20FEE" w:rsidRPr="00B20FEE">
        <w:rPr>
          <w:sz w:val="20"/>
          <w:lang w:val="en-US"/>
        </w:rPr>
        <w:t xml:space="preserve"> </w:t>
      </w:r>
      <w:r w:rsidR="00B20FEE">
        <w:rPr>
          <w:sz w:val="20"/>
          <w:lang w:val="en-US"/>
        </w:rPr>
        <w:t>(</w:t>
      </w:r>
      <w:hyperlink r:id="rId1" w:tgtFrame="_blank" w:history="1">
        <w:r w:rsidR="00B20FEE" w:rsidRPr="00B20FEE">
          <w:rPr>
            <w:rFonts w:eastAsia="Times New Roman" w:cs="Courier New"/>
            <w:sz w:val="20"/>
            <w:lang w:val="en-US" w:eastAsia="es-ES"/>
          </w:rPr>
          <w:t>http://www.mid.ru/bdomp/ns-osndoc.nsf/e2f289bea62097f9c325787a0034c255/6912ce36aa5f1e92c32579250035bebd!OpenDocument</w:t>
        </w:r>
      </w:hyperlink>
      <w:r w:rsidR="00B20FEE" w:rsidRPr="00B20FEE">
        <w:rPr>
          <w:rFonts w:eastAsia="Times New Roman" w:cs="Courier New"/>
          <w:sz w:val="20"/>
          <w:lang w:val="en-US" w:eastAsia="es-ES"/>
        </w:rPr>
        <w:t>)</w:t>
      </w:r>
      <w:r w:rsidR="00B20FEE" w:rsidRPr="00B8745D">
        <w:rPr>
          <w:rFonts w:eastAsia="Times New Roman" w:cs="Courier New"/>
          <w:sz w:val="20"/>
          <w:lang w:val="en-US" w:eastAsia="es-ES"/>
        </w:rPr>
        <w:br/>
      </w:r>
    </w:p>
    <w:p w:rsidR="00D62FD5" w:rsidRPr="00B20FEE" w:rsidRDefault="00D62FD5">
      <w:pPr>
        <w:pStyle w:val="Textonotapie"/>
        <w:rPr>
          <w:lang w:val="en-US"/>
        </w:rPr>
      </w:pPr>
    </w:p>
  </w:footnote>
  <w:footnote w:id="8">
    <w:p w:rsidR="001552B5" w:rsidRPr="001552B5" w:rsidRDefault="001552B5">
      <w:pPr>
        <w:pStyle w:val="Textonotapie"/>
        <w:rPr>
          <w:lang w:val="en-US"/>
        </w:rPr>
      </w:pPr>
      <w:r>
        <w:rPr>
          <w:rStyle w:val="Refdenotaalpie"/>
        </w:rPr>
        <w:footnoteRef/>
      </w:r>
      <w:r w:rsidRPr="001552B5">
        <w:rPr>
          <w:lang w:val="en-US"/>
        </w:rPr>
        <w:t xml:space="preserve"> </w:t>
      </w:r>
      <w:proofErr w:type="gramStart"/>
      <w:r w:rsidRPr="001552B5">
        <w:rPr>
          <w:lang w:val="en-US"/>
        </w:rPr>
        <w:t>Reprinted in UN document A/S-15/3</w:t>
      </w:r>
      <w:r w:rsidR="008B5483">
        <w:rPr>
          <w:lang w:val="en-US"/>
        </w:rPr>
        <w:t>.</w:t>
      </w:r>
      <w:proofErr w:type="gramEnd"/>
      <w:r w:rsidR="008B5483">
        <w:rPr>
          <w:lang w:val="en-US"/>
        </w:rPr>
        <w:t xml:space="preserve"> For the development of the concept in Europe and beyond see Henning Wegener “CBMs: European and Global Dimensions” in: F. Stephen </w:t>
      </w:r>
      <w:proofErr w:type="spellStart"/>
      <w:r w:rsidR="008B5483">
        <w:rPr>
          <w:lang w:val="en-US"/>
        </w:rPr>
        <w:t>Larrabee</w:t>
      </w:r>
      <w:proofErr w:type="spellEnd"/>
      <w:r w:rsidR="008B5483">
        <w:rPr>
          <w:lang w:val="en-US"/>
        </w:rPr>
        <w:t xml:space="preserve"> and Dietrich </w:t>
      </w:r>
      <w:proofErr w:type="spellStart"/>
      <w:r w:rsidR="008B5483">
        <w:rPr>
          <w:lang w:val="en-US"/>
        </w:rPr>
        <w:t>Stobbe</w:t>
      </w:r>
      <w:proofErr w:type="spellEnd"/>
      <w:r w:rsidR="008B5483">
        <w:rPr>
          <w:lang w:val="en-US"/>
        </w:rPr>
        <w:t>, eds., “Confidence-Building Measures in Europe”, Institute for East-West Studies, New York, 1983</w:t>
      </w:r>
    </w:p>
  </w:footnote>
  <w:footnote w:id="9">
    <w:p w:rsidR="00E862A2" w:rsidRPr="00A74A16" w:rsidRDefault="00E862A2">
      <w:pPr>
        <w:pStyle w:val="Textonotapie"/>
        <w:rPr>
          <w:lang w:val="en-US"/>
        </w:rPr>
      </w:pPr>
      <w:r>
        <w:rPr>
          <w:rStyle w:val="Refdenotaalpie"/>
        </w:rPr>
        <w:footnoteRef/>
      </w:r>
      <w:r w:rsidRPr="00A74A16">
        <w:rPr>
          <w:lang w:val="en-US"/>
        </w:rPr>
        <w:t xml:space="preserve"> See also the </w:t>
      </w:r>
      <w:proofErr w:type="spellStart"/>
      <w:r w:rsidRPr="00A74A16">
        <w:rPr>
          <w:lang w:val="en-US"/>
        </w:rPr>
        <w:t>Montreux</w:t>
      </w:r>
      <w:proofErr w:type="spellEnd"/>
      <w:r w:rsidRPr="00A74A16">
        <w:rPr>
          <w:lang w:val="en-US"/>
        </w:rPr>
        <w:t xml:space="preserve"> Document on Operations of Private Military and Security Companies During Armed Conflict, www.icrc.org</w:t>
      </w:r>
    </w:p>
  </w:footnote>
  <w:footnote w:id="10">
    <w:p w:rsidR="002F5E1F" w:rsidRPr="002F5E1F" w:rsidRDefault="002F5E1F">
      <w:pPr>
        <w:pStyle w:val="Textonotapie"/>
        <w:rPr>
          <w:lang w:val="en-US"/>
        </w:rPr>
      </w:pPr>
      <w:r w:rsidRPr="002F5E1F">
        <w:rPr>
          <w:rStyle w:val="Refdenotaalpie"/>
        </w:rPr>
        <w:footnoteRef/>
      </w:r>
      <w:r w:rsidRPr="002F5E1F">
        <w:rPr>
          <w:lang w:val="en-US"/>
        </w:rPr>
        <w:t xml:space="preserve"> Some governments, including the Federal German Government, prefer the term Transparency- und Confidence-Building Measures (TCBMs). As the promotion of transparency has always been a major plank of CBMs, the choice between the terms would seem to be one of emphasis rather than substance</w:t>
      </w:r>
    </w:p>
  </w:footnote>
  <w:footnote w:id="11">
    <w:p w:rsidR="00642483" w:rsidRPr="00EB4E80" w:rsidRDefault="00642483">
      <w:pPr>
        <w:pStyle w:val="Textonotapie"/>
        <w:rPr>
          <w:lang w:val="en-US"/>
        </w:rPr>
      </w:pPr>
      <w:r w:rsidRPr="004C59A9">
        <w:rPr>
          <w:rStyle w:val="Refdenotaalpie"/>
        </w:rPr>
        <w:footnoteRef/>
      </w:r>
      <w:r w:rsidRPr="00EB4E80">
        <w:rPr>
          <w:lang w:val="en-US"/>
        </w:rPr>
        <w:t xml:space="preserve"> </w:t>
      </w:r>
      <w:r w:rsidR="004C59A9" w:rsidRPr="00EB4E80">
        <w:rPr>
          <w:lang w:val="en-US"/>
        </w:rPr>
        <w:t xml:space="preserve"> A/65/201</w:t>
      </w:r>
    </w:p>
  </w:footnote>
  <w:footnote w:id="12">
    <w:p w:rsidR="00642483" w:rsidRPr="00EB4E80" w:rsidRDefault="00642483">
      <w:pPr>
        <w:pStyle w:val="Textonotapie"/>
        <w:rPr>
          <w:lang w:val="en-US"/>
        </w:rPr>
      </w:pPr>
      <w:r>
        <w:rPr>
          <w:rStyle w:val="Refdenotaalpie"/>
        </w:rPr>
        <w:footnoteRef/>
      </w:r>
      <w:r w:rsidRPr="00EB4E80">
        <w:rPr>
          <w:lang w:val="en-US"/>
        </w:rPr>
        <w:t xml:space="preserve">  A/Res/66/24 of 13 December 2011</w:t>
      </w:r>
    </w:p>
  </w:footnote>
  <w:footnote w:id="13">
    <w:p w:rsidR="00704573" w:rsidRPr="00891002" w:rsidRDefault="00704573">
      <w:pPr>
        <w:pStyle w:val="Textonotapie"/>
        <w:rPr>
          <w:lang w:val="en-US"/>
        </w:rPr>
      </w:pPr>
      <w:r w:rsidRPr="00704573">
        <w:rPr>
          <w:rStyle w:val="Refdenotaalpie"/>
        </w:rPr>
        <w:footnoteRef/>
      </w:r>
      <w:r w:rsidRPr="00891002">
        <w:rPr>
          <w:lang w:val="en-US"/>
        </w:rPr>
        <w:t xml:space="preserve">  A/66/152 and A/66/152 Add.1</w:t>
      </w:r>
    </w:p>
  </w:footnote>
  <w:footnote w:id="14">
    <w:p w:rsidR="00704573" w:rsidRPr="008F3B23" w:rsidRDefault="00704573">
      <w:pPr>
        <w:pStyle w:val="Textonotapie"/>
        <w:rPr>
          <w:lang w:val="en-US"/>
        </w:rPr>
      </w:pPr>
      <w:r>
        <w:rPr>
          <w:rStyle w:val="Refdenotaalpie"/>
        </w:rPr>
        <w:footnoteRef/>
      </w:r>
      <w:r w:rsidRPr="003E4191">
        <w:rPr>
          <w:lang w:val="en-US"/>
        </w:rPr>
        <w:t xml:space="preserve"> </w:t>
      </w:r>
      <w:r w:rsidR="003E4191" w:rsidRPr="003E4191">
        <w:rPr>
          <w:lang w:val="en-US"/>
        </w:rPr>
        <w:t xml:space="preserve"> </w:t>
      </w:r>
      <w:r w:rsidR="003E4191" w:rsidRPr="008F3B23">
        <w:rPr>
          <w:lang w:val="en-US"/>
        </w:rPr>
        <w:t xml:space="preserve">See </w:t>
      </w:r>
      <w:r w:rsidR="00FA70D7">
        <w:rPr>
          <w:lang w:val="en-US"/>
        </w:rPr>
        <w:t>previous footnote and the positive utterances at the cyber session of the Shangri-La Dialogue, IISS news July 2012.</w:t>
      </w:r>
      <w:r w:rsidR="003E4191" w:rsidRPr="008F3B23">
        <w:rPr>
          <w:lang w:val="en-US"/>
        </w:rPr>
        <w:t xml:space="preserve"> For Germany, see also</w:t>
      </w:r>
      <w:r w:rsidR="001F46FA" w:rsidRPr="008F3B23">
        <w:rPr>
          <w:lang w:val="en-US"/>
        </w:rPr>
        <w:t xml:space="preserve"> “Challenges in Cyber Security: Risks, Strategies and Conference Building, Conference Report, December 13 and 14, 2011, Berlin</w:t>
      </w:r>
      <w:r w:rsidR="001F46FA" w:rsidRPr="00C979BA">
        <w:rPr>
          <w:lang w:val="en-US"/>
        </w:rPr>
        <w:t xml:space="preserve">, </w:t>
      </w:r>
      <w:r w:rsidR="003E4191" w:rsidRPr="00C979BA">
        <w:rPr>
          <w:lang w:val="en-US"/>
        </w:rPr>
        <w:t xml:space="preserve"> </w:t>
      </w:r>
      <w:hyperlink r:id="rId2" w:history="1">
        <w:r w:rsidR="00C979BA" w:rsidRPr="00FA70D7">
          <w:rPr>
            <w:rStyle w:val="Hipervnculo"/>
            <w:color w:val="auto"/>
            <w:u w:val="none"/>
            <w:lang w:val="en-US"/>
          </w:rPr>
          <w:t xml:space="preserve">http://www.auswaertiges-amt.de/DE/Aussenpolitik/Friedenspolitik/ </w:t>
        </w:r>
        <w:proofErr w:type="spellStart"/>
        <w:r w:rsidR="00C979BA" w:rsidRPr="00FA70D7">
          <w:rPr>
            <w:rStyle w:val="Hipervnculo"/>
            <w:color w:val="auto"/>
            <w:u w:val="none"/>
            <w:lang w:val="en-US"/>
          </w:rPr>
          <w:t>Abruestung</w:t>
        </w:r>
        <w:proofErr w:type="spellEnd"/>
        <w:r w:rsidR="00C979BA" w:rsidRPr="00FA70D7">
          <w:rPr>
            <w:rStyle w:val="Hipervnculo"/>
            <w:color w:val="auto"/>
            <w:u w:val="none"/>
            <w:lang w:val="en-US"/>
          </w:rPr>
          <w:t>/</w:t>
        </w:r>
        <w:proofErr w:type="spellStart"/>
        <w:r w:rsidR="00C979BA" w:rsidRPr="00FA70D7">
          <w:rPr>
            <w:rStyle w:val="Hipervnculo"/>
            <w:color w:val="auto"/>
            <w:u w:val="none"/>
            <w:lang w:val="en-US"/>
          </w:rPr>
          <w:t>Projekte</w:t>
        </w:r>
        <w:proofErr w:type="spellEnd"/>
        <w:r w:rsidR="00C979BA" w:rsidRPr="00FA70D7">
          <w:rPr>
            <w:rStyle w:val="Hipervnculo"/>
            <w:color w:val="auto"/>
            <w:u w:val="none"/>
            <w:lang w:val="en-US"/>
          </w:rPr>
          <w:t xml:space="preserve">/ </w:t>
        </w:r>
        <w:proofErr w:type="spellStart"/>
        <w:r w:rsidR="00C979BA" w:rsidRPr="00FA70D7">
          <w:rPr>
            <w:rStyle w:val="Hipervnculo"/>
            <w:color w:val="auto"/>
            <w:u w:val="none"/>
            <w:lang w:val="en-US"/>
          </w:rPr>
          <w:t>Cybersicherheit.html</w:t>
        </w:r>
      </w:hyperlink>
      <w:r w:rsidR="00FA70D7">
        <w:rPr>
          <w:lang w:val="en-US"/>
        </w:rPr>
        <w:t>.</w:t>
      </w:r>
      <w:r w:rsidR="001F46FA" w:rsidRPr="00FA70D7">
        <w:rPr>
          <w:lang w:val="en-US"/>
        </w:rPr>
        <w:t>T</w:t>
      </w:r>
      <w:r w:rsidR="001F46FA" w:rsidRPr="008F3B23">
        <w:rPr>
          <w:lang w:val="en-US"/>
        </w:rPr>
        <w:t>he</w:t>
      </w:r>
      <w:proofErr w:type="spellEnd"/>
      <w:r w:rsidR="001F46FA" w:rsidRPr="008F3B23">
        <w:rPr>
          <w:lang w:val="en-US"/>
        </w:rPr>
        <w:t xml:space="preserve"> German Federal Foreign Offic</w:t>
      </w:r>
      <w:r w:rsidR="008F3B23">
        <w:rPr>
          <w:lang w:val="en-US"/>
        </w:rPr>
        <w:t>e, in addition,</w:t>
      </w:r>
      <w:r w:rsidR="001F46FA" w:rsidRPr="008F3B23">
        <w:rPr>
          <w:lang w:val="en-US"/>
        </w:rPr>
        <w:t xml:space="preserve"> supports a</w:t>
      </w:r>
      <w:r w:rsidR="008F3B23" w:rsidRPr="008F3B23">
        <w:rPr>
          <w:lang w:val="en-US"/>
        </w:rPr>
        <w:t xml:space="preserve"> 2012</w:t>
      </w:r>
      <w:r w:rsidR="001F46FA" w:rsidRPr="008F3B23">
        <w:rPr>
          <w:lang w:val="en-US"/>
        </w:rPr>
        <w:t xml:space="preserve"> UNIDIR project </w:t>
      </w:r>
      <w:r w:rsidR="000765B5">
        <w:rPr>
          <w:lang w:val="en-US"/>
        </w:rPr>
        <w:t xml:space="preserve">on International </w:t>
      </w:r>
      <w:proofErr w:type="spellStart"/>
      <w:r w:rsidR="000765B5">
        <w:rPr>
          <w:lang w:val="en-US"/>
        </w:rPr>
        <w:t>Cybersecuri</w:t>
      </w:r>
      <w:r w:rsidR="008F3B23" w:rsidRPr="008F3B23">
        <w:rPr>
          <w:lang w:val="en-US"/>
        </w:rPr>
        <w:t>ty</w:t>
      </w:r>
      <w:proofErr w:type="spellEnd"/>
      <w:r w:rsidR="008F3B23" w:rsidRPr="008F3B23">
        <w:rPr>
          <w:lang w:val="en-US"/>
        </w:rPr>
        <w:t xml:space="preserve"> and CBMs</w:t>
      </w:r>
    </w:p>
  </w:footnote>
  <w:footnote w:id="15">
    <w:p w:rsidR="00CD64B8" w:rsidRPr="00CD64B8" w:rsidRDefault="00CD64B8">
      <w:pPr>
        <w:pStyle w:val="Textonotapie"/>
        <w:rPr>
          <w:lang w:val="en-US"/>
        </w:rPr>
      </w:pPr>
      <w:r>
        <w:rPr>
          <w:rStyle w:val="Refdenotaalpie"/>
        </w:rPr>
        <w:footnoteRef/>
      </w:r>
      <w:r w:rsidRPr="00CD64B8">
        <w:rPr>
          <w:lang w:val="en-US"/>
        </w:rPr>
        <w:t xml:space="preserve"> </w:t>
      </w:r>
      <w:proofErr w:type="spellStart"/>
      <w:r w:rsidR="00647ADA">
        <w:rPr>
          <w:lang w:val="en-US"/>
        </w:rPr>
        <w:t>Arvind</w:t>
      </w:r>
      <w:proofErr w:type="spellEnd"/>
      <w:r w:rsidR="00647ADA">
        <w:rPr>
          <w:lang w:val="en-US"/>
        </w:rPr>
        <w:t xml:space="preserve"> Gu</w:t>
      </w:r>
      <w:r w:rsidR="00DB3DE6">
        <w:rPr>
          <w:lang w:val="en-US"/>
        </w:rPr>
        <w:t>pta, CBMs in Cyber Space: What Should B</w:t>
      </w:r>
      <w:r w:rsidR="00647ADA">
        <w:rPr>
          <w:lang w:val="en-US"/>
        </w:rPr>
        <w:t>e India’s Approach</w:t>
      </w:r>
      <w:r w:rsidR="00DB3DE6">
        <w:rPr>
          <w:lang w:val="en-US"/>
        </w:rPr>
        <w:t>?</w:t>
      </w:r>
      <w:r w:rsidR="00647ADA">
        <w:rPr>
          <w:lang w:val="en-US"/>
        </w:rPr>
        <w:t>,</w:t>
      </w:r>
      <w:r w:rsidRPr="00CD64B8">
        <w:rPr>
          <w:lang w:val="en-US"/>
        </w:rPr>
        <w:t xml:space="preserve"> IDSA, Institute </w:t>
      </w:r>
      <w:r w:rsidR="009C321F">
        <w:rPr>
          <w:lang w:val="en-US"/>
        </w:rPr>
        <w:t xml:space="preserve">    </w:t>
      </w:r>
      <w:r w:rsidRPr="00CD64B8">
        <w:rPr>
          <w:lang w:val="en-US"/>
        </w:rPr>
        <w:t xml:space="preserve">for </w:t>
      </w:r>
      <w:proofErr w:type="spellStart"/>
      <w:r w:rsidRPr="00CD64B8">
        <w:rPr>
          <w:lang w:val="en-US"/>
        </w:rPr>
        <w:t>Defence</w:t>
      </w:r>
      <w:proofErr w:type="spellEnd"/>
      <w:r w:rsidRPr="00CD64B8">
        <w:rPr>
          <w:lang w:val="en-US"/>
        </w:rPr>
        <w:t xml:space="preserve"> Studies and Analysis, June 27, 2012</w:t>
      </w:r>
    </w:p>
  </w:footnote>
  <w:footnote w:id="16">
    <w:p w:rsidR="00015D11" w:rsidRPr="007C5D8D" w:rsidRDefault="00015D11" w:rsidP="00015D11">
      <w:pPr>
        <w:autoSpaceDE w:val="0"/>
        <w:autoSpaceDN w:val="0"/>
        <w:adjustRightInd w:val="0"/>
        <w:spacing w:after="0" w:line="240" w:lineRule="auto"/>
        <w:rPr>
          <w:rFonts w:cs="TrebuchetMS"/>
          <w:sz w:val="20"/>
          <w:lang w:val="en-US"/>
        </w:rPr>
      </w:pPr>
      <w:r w:rsidRPr="007C5D8D">
        <w:rPr>
          <w:rStyle w:val="Refdenotaalpie"/>
          <w:sz w:val="20"/>
        </w:rPr>
        <w:footnoteRef/>
      </w:r>
      <w:r w:rsidRPr="007C5D8D">
        <w:rPr>
          <w:sz w:val="20"/>
          <w:lang w:val="en-US"/>
        </w:rPr>
        <w:t xml:space="preserve"> </w:t>
      </w:r>
      <w:proofErr w:type="gramStart"/>
      <w:r w:rsidRPr="007C5D8D">
        <w:rPr>
          <w:sz w:val="20"/>
          <w:lang w:val="en-US"/>
        </w:rPr>
        <w:t>A/66/359.</w:t>
      </w:r>
      <w:proofErr w:type="gramEnd"/>
      <w:r w:rsidRPr="007C5D8D">
        <w:rPr>
          <w:sz w:val="20"/>
          <w:lang w:val="en-US"/>
        </w:rPr>
        <w:t xml:space="preserve"> See also the </w:t>
      </w:r>
      <w:r w:rsidRPr="007C5D8D">
        <w:rPr>
          <w:rFonts w:cs="TrebuchetMS"/>
          <w:sz w:val="20"/>
          <w:lang w:val="en-US"/>
        </w:rPr>
        <w:t>Agreement between the Governments of the Member States of the Shanghai Cooperation Organization on Cooperation in the Field of International Information Security, signed in Yekaterinburg on 15 June 2009</w:t>
      </w:r>
    </w:p>
  </w:footnote>
  <w:footnote w:id="17">
    <w:p w:rsidR="003D049D" w:rsidRPr="00C03D6C" w:rsidRDefault="003D049D">
      <w:pPr>
        <w:pStyle w:val="Textonotapie"/>
        <w:rPr>
          <w:lang w:val="en-US"/>
        </w:rPr>
      </w:pPr>
      <w:r w:rsidRPr="003D049D">
        <w:rPr>
          <w:rStyle w:val="Refdenotaalpie"/>
        </w:rPr>
        <w:footnoteRef/>
      </w:r>
      <w:r w:rsidRPr="00C03D6C">
        <w:rPr>
          <w:lang w:val="en-US"/>
        </w:rPr>
        <w:t xml:space="preserve">See  </w:t>
      </w:r>
      <w:r w:rsidRPr="00C03D6C">
        <w:rPr>
          <w:rStyle w:val="t101"/>
          <w:rFonts w:cs="Arial"/>
          <w:color w:val="auto"/>
          <w:sz w:val="20"/>
          <w:szCs w:val="20"/>
          <w:lang w:val="en-US"/>
        </w:rPr>
        <w:t>www.fco.gov.uk/en/global-issues/london-conference-cyberspace</w:t>
      </w:r>
      <w:r w:rsidRPr="00C03D6C">
        <w:rPr>
          <w:rStyle w:val="t101"/>
          <w:rFonts w:cs="Arial"/>
          <w:sz w:val="20"/>
          <w:szCs w:val="20"/>
          <w:lang w:val="en-US"/>
        </w:rPr>
        <w:t>/</w:t>
      </w:r>
    </w:p>
  </w:footnote>
  <w:footnote w:id="18">
    <w:p w:rsidR="00951DF1" w:rsidRPr="00951DF1" w:rsidRDefault="00951DF1">
      <w:pPr>
        <w:pStyle w:val="Textonotapie"/>
        <w:rPr>
          <w:lang w:val="en-US"/>
        </w:rPr>
      </w:pPr>
      <w:r w:rsidRPr="00951DF1">
        <w:rPr>
          <w:rStyle w:val="Refdenotaalpie"/>
        </w:rPr>
        <w:footnoteRef/>
      </w:r>
      <w:r w:rsidRPr="00951DF1">
        <w:rPr>
          <w:lang w:val="en-US"/>
        </w:rPr>
        <w:t xml:space="preserve"> See footnote 9</w:t>
      </w:r>
    </w:p>
  </w:footnote>
  <w:footnote w:id="19">
    <w:p w:rsidR="00951DF1" w:rsidRPr="00951DF1" w:rsidRDefault="00951DF1">
      <w:pPr>
        <w:pStyle w:val="Textonotapie"/>
        <w:rPr>
          <w:lang w:val="en-US"/>
        </w:rPr>
      </w:pPr>
      <w:r w:rsidRPr="00951DF1">
        <w:rPr>
          <w:rStyle w:val="Refdenotaalpie"/>
        </w:rPr>
        <w:footnoteRef/>
      </w:r>
      <w:r>
        <w:rPr>
          <w:lang w:val="en-US"/>
        </w:rPr>
        <w:t xml:space="preserve"> An OSCE Conference,</w:t>
      </w:r>
      <w:r w:rsidRPr="00951DF1">
        <w:rPr>
          <w:lang w:val="en-US"/>
        </w:rPr>
        <w:t xml:space="preserve"> </w:t>
      </w:r>
      <w:r>
        <w:rPr>
          <w:lang w:val="en-US"/>
        </w:rPr>
        <w:t>May 9 and 10</w:t>
      </w:r>
      <w:r w:rsidR="00792D62">
        <w:rPr>
          <w:lang w:val="en-US"/>
        </w:rPr>
        <w:t>,</w:t>
      </w:r>
      <w:r>
        <w:rPr>
          <w:lang w:val="en-US"/>
        </w:rPr>
        <w:t xml:space="preserve"> 2012</w:t>
      </w:r>
    </w:p>
  </w:footnote>
  <w:footnote w:id="20">
    <w:p w:rsidR="00792D62" w:rsidRDefault="00792D62" w:rsidP="00792D62">
      <w:pPr>
        <w:pStyle w:val="Textonotapie"/>
        <w:rPr>
          <w:lang w:val="en-US"/>
        </w:rPr>
      </w:pPr>
      <w:r>
        <w:rPr>
          <w:rStyle w:val="Refdenotaalpie"/>
        </w:rPr>
        <w:footnoteRef/>
      </w:r>
      <w:r w:rsidRPr="00792D62">
        <w:rPr>
          <w:lang w:val="en-US"/>
        </w:rPr>
        <w:t xml:space="preserve"> Secretary of State Clinton at the </w:t>
      </w:r>
      <w:proofErr w:type="spellStart"/>
      <w:r w:rsidRPr="00792D62">
        <w:rPr>
          <w:lang w:val="en-US"/>
        </w:rPr>
        <w:t>Pnom</w:t>
      </w:r>
      <w:proofErr w:type="spellEnd"/>
      <w:r w:rsidRPr="00792D62">
        <w:rPr>
          <w:lang w:val="en-US"/>
        </w:rPr>
        <w:t xml:space="preserve"> Penh ASEAN meeting on July 12, 2012: </w:t>
      </w:r>
      <w:r>
        <w:rPr>
          <w:lang w:val="en-US"/>
        </w:rPr>
        <w:t>“</w:t>
      </w:r>
      <w:r w:rsidRPr="00792D62">
        <w:rPr>
          <w:rFonts w:cs="Arial"/>
          <w:color w:val="252525"/>
          <w:sz w:val="18"/>
          <w:szCs w:val="18"/>
          <w:lang w:val="en-US"/>
        </w:rPr>
        <w:t>This Forum includes some of the world’s largest cyber actors. So this is an appropriate setting for a sustained, meaningful dialogue on cyberspace issues. In the years ahead, we should work together in support of responsible norms and standards, and pursue practical measures to build confidence and reduce risk</w:t>
      </w:r>
      <w:r>
        <w:rPr>
          <w:rFonts w:cs="Arial"/>
          <w:color w:val="252525"/>
          <w:sz w:val="18"/>
          <w:szCs w:val="18"/>
          <w:lang w:val="en-US"/>
        </w:rPr>
        <w:t>”</w:t>
      </w:r>
      <w:r w:rsidRPr="00792D62">
        <w:rPr>
          <w:rFonts w:cs="Arial"/>
          <w:color w:val="252525"/>
          <w:sz w:val="18"/>
          <w:szCs w:val="18"/>
          <w:lang w:val="en-US"/>
        </w:rPr>
        <w:t>.</w:t>
      </w:r>
      <w:r>
        <w:rPr>
          <w:rFonts w:cs="Arial"/>
          <w:color w:val="252525"/>
          <w:sz w:val="18"/>
          <w:szCs w:val="18"/>
          <w:lang w:val="en-US"/>
        </w:rPr>
        <w:t xml:space="preserve"> The ARF organizes a Seminar on Confidence-Building Measures in Cyberspace in Seoul next September. </w:t>
      </w:r>
      <w:r>
        <w:rPr>
          <w:lang w:val="en-US"/>
        </w:rPr>
        <w:t>In May of this year ASEAN defens</w:t>
      </w:r>
      <w:r w:rsidRPr="00D12DCA">
        <w:rPr>
          <w:lang w:val="en-US"/>
        </w:rPr>
        <w:t>e ministers called for an ASEAN “master plan of security connectivity”</w:t>
      </w:r>
      <w:r w:rsidR="008D4FCA">
        <w:rPr>
          <w:lang w:val="en-US"/>
        </w:rPr>
        <w:t>.</w:t>
      </w:r>
    </w:p>
    <w:p w:rsidR="008D4FCA" w:rsidRPr="00D12DCA" w:rsidRDefault="008D4FCA" w:rsidP="00792D62">
      <w:pPr>
        <w:pStyle w:val="Textonotapie"/>
        <w:rPr>
          <w:lang w:val="en-US"/>
        </w:rPr>
      </w:pPr>
    </w:p>
    <w:p w:rsidR="00792D62" w:rsidRPr="00792D62" w:rsidRDefault="00792D62">
      <w:pPr>
        <w:pStyle w:val="Textonotapie"/>
        <w:rPr>
          <w:lang w:val="en-US"/>
        </w:rPr>
      </w:pPr>
    </w:p>
  </w:footnote>
  <w:footnote w:id="21">
    <w:p w:rsidR="000E1907" w:rsidRPr="000E1907" w:rsidRDefault="00451A63">
      <w:pPr>
        <w:pStyle w:val="Textonotapie"/>
        <w:rPr>
          <w:lang w:val="en-US"/>
        </w:rPr>
      </w:pPr>
      <w:r>
        <w:rPr>
          <w:sz w:val="16"/>
          <w:szCs w:val="16"/>
          <w:lang w:val="en-US"/>
        </w:rPr>
        <w:t xml:space="preserve">21 </w:t>
      </w:r>
      <w:r w:rsidR="000E1907" w:rsidRPr="000E1907">
        <w:rPr>
          <w:lang w:val="en-US"/>
        </w:rPr>
        <w:t>www.osce.org</w:t>
      </w:r>
    </w:p>
  </w:footnote>
  <w:footnote w:id="22">
    <w:p w:rsidR="008D4FCA" w:rsidRPr="006B630C" w:rsidRDefault="008D4FCA">
      <w:pPr>
        <w:pStyle w:val="Textonotapie"/>
        <w:rPr>
          <w:lang w:val="en-US"/>
        </w:rPr>
      </w:pPr>
      <w:r w:rsidRPr="006B630C">
        <w:rPr>
          <w:rStyle w:val="Refdenotaalpie"/>
        </w:rPr>
        <w:footnoteRef/>
      </w:r>
      <w:r w:rsidRPr="006B630C">
        <w:rPr>
          <w:lang w:val="en-US"/>
        </w:rPr>
        <w:t xml:space="preserve"> See the APEC TEL Strategic Action Plan 2010-2015, www.apec.org</w:t>
      </w:r>
    </w:p>
  </w:footnote>
  <w:footnote w:id="23">
    <w:p w:rsidR="008D4FCA" w:rsidRPr="006B630C" w:rsidRDefault="008D4FCA">
      <w:pPr>
        <w:pStyle w:val="Textonotapie"/>
        <w:rPr>
          <w:lang w:val="en-US"/>
        </w:rPr>
      </w:pPr>
      <w:r w:rsidRPr="006B630C">
        <w:rPr>
          <w:rStyle w:val="Refdenotaalpie"/>
        </w:rPr>
        <w:footnoteRef/>
      </w:r>
      <w:r w:rsidRPr="006B630C">
        <w:rPr>
          <w:lang w:val="en-US"/>
        </w:rPr>
        <w:t xml:space="preserve"> </w:t>
      </w:r>
      <w:r w:rsidR="004F082F">
        <w:rPr>
          <w:lang w:val="en-US"/>
        </w:rPr>
        <w:t xml:space="preserve">No home page in English of the SCO could be detected. News </w:t>
      </w:r>
      <w:proofErr w:type="gramStart"/>
      <w:r w:rsidR="004F082F">
        <w:rPr>
          <w:lang w:val="en-US"/>
        </w:rPr>
        <w:t>are</w:t>
      </w:r>
      <w:proofErr w:type="gramEnd"/>
      <w:r w:rsidR="004F082F">
        <w:rPr>
          <w:lang w:val="en-US"/>
        </w:rPr>
        <w:t xml:space="preserve"> best gathered from the web pages of the member countries.</w:t>
      </w:r>
    </w:p>
  </w:footnote>
  <w:footnote w:id="24">
    <w:p w:rsidR="006B630C" w:rsidRPr="006B630C" w:rsidRDefault="006B630C">
      <w:pPr>
        <w:pStyle w:val="Textonotapie"/>
        <w:rPr>
          <w:lang w:val="en-US"/>
        </w:rPr>
      </w:pPr>
      <w:r w:rsidRPr="006B630C">
        <w:rPr>
          <w:rStyle w:val="Refdenotaalpie"/>
        </w:rPr>
        <w:footnoteRef/>
      </w:r>
      <w:r w:rsidRPr="006B630C">
        <w:rPr>
          <w:lang w:val="en-US"/>
        </w:rPr>
        <w:t xml:space="preserve"> hub.coe.int</w:t>
      </w:r>
    </w:p>
  </w:footnote>
  <w:footnote w:id="25">
    <w:p w:rsidR="00506265" w:rsidRPr="00506265" w:rsidRDefault="00506265">
      <w:pPr>
        <w:pStyle w:val="Textonotapie"/>
        <w:rPr>
          <w:lang w:val="en-US"/>
        </w:rPr>
      </w:pPr>
      <w:r w:rsidRPr="00506265">
        <w:rPr>
          <w:rStyle w:val="Refdenotaalpie"/>
        </w:rPr>
        <w:footnoteRef/>
      </w:r>
      <w:r w:rsidRPr="00506265">
        <w:rPr>
          <w:lang w:val="en-US"/>
        </w:rPr>
        <w:t xml:space="preserve"> UNIDIR organizes conferences and participates in others. See also the articles in DIARMAMENT FORUM</w:t>
      </w:r>
    </w:p>
  </w:footnote>
  <w:footnote w:id="26">
    <w:p w:rsidR="00BF2CB3" w:rsidRPr="00015D11" w:rsidRDefault="00BF2CB3">
      <w:pPr>
        <w:pStyle w:val="Textonotapie"/>
        <w:rPr>
          <w:lang w:val="en-US"/>
        </w:rPr>
      </w:pPr>
      <w:r w:rsidRPr="00951DF1">
        <w:rPr>
          <w:rStyle w:val="Refdenotaalpie"/>
        </w:rPr>
        <w:footnoteRef/>
      </w:r>
      <w:r w:rsidRPr="00951DF1">
        <w:rPr>
          <w:lang w:val="en-US"/>
        </w:rPr>
        <w:t xml:space="preserve"> http://ict4peace.org</w:t>
      </w:r>
    </w:p>
  </w:footnote>
  <w:footnote w:id="27">
    <w:p w:rsidR="00BF2CB3" w:rsidRPr="00FB124F" w:rsidRDefault="00BF2CB3" w:rsidP="00FB124F">
      <w:pPr>
        <w:pStyle w:val="Textonotapie"/>
        <w:rPr>
          <w:lang w:val="en-US"/>
        </w:rPr>
      </w:pPr>
      <w:r w:rsidRPr="00FB124F">
        <w:rPr>
          <w:rStyle w:val="Refdenotaalpie"/>
        </w:rPr>
        <w:footnoteRef/>
      </w:r>
      <w:r w:rsidRPr="00FB124F">
        <w:rPr>
          <w:lang w:val="en-US"/>
        </w:rPr>
        <w:t xml:space="preserve"> </w:t>
      </w:r>
      <w:r w:rsidR="00FB124F" w:rsidRPr="00FB124F">
        <w:rPr>
          <w:lang w:val="en-US"/>
        </w:rPr>
        <w:t>“Ten Rules for Cyber Security”, SURVIVAL vol.53 no.3, June-July 2011</w:t>
      </w:r>
    </w:p>
  </w:footnote>
  <w:footnote w:id="28">
    <w:p w:rsidR="00506265" w:rsidRPr="000D5E61" w:rsidRDefault="00506265">
      <w:pPr>
        <w:pStyle w:val="Textonotapie"/>
        <w:rPr>
          <w:lang w:val="en-US"/>
        </w:rPr>
      </w:pPr>
      <w:r w:rsidRPr="000D5E61">
        <w:rPr>
          <w:rStyle w:val="Refdenotaalpie"/>
        </w:rPr>
        <w:footnoteRef/>
      </w:r>
      <w:r w:rsidRPr="000D5E61">
        <w:rPr>
          <w:lang w:val="en-US"/>
        </w:rPr>
        <w:t xml:space="preserve"> Reprinted in “The Quest for Cyber Peace” </w:t>
      </w:r>
      <w:r w:rsidR="000D5E61" w:rsidRPr="000D5E61">
        <w:rPr>
          <w:lang w:val="en-US"/>
        </w:rPr>
        <w:t>www.itu.int/S-GEN/WFS,01-2011-PDF-E, , p.110</w:t>
      </w:r>
    </w:p>
  </w:footnote>
  <w:footnote w:id="29">
    <w:p w:rsidR="000A279A" w:rsidRPr="00891002" w:rsidRDefault="000A279A">
      <w:pPr>
        <w:pStyle w:val="Textonotapie"/>
        <w:rPr>
          <w:u w:val="double"/>
          <w:lang w:val="en-US"/>
        </w:rPr>
      </w:pPr>
      <w:r w:rsidRPr="00891002">
        <w:rPr>
          <w:rStyle w:val="Refdenotaalpie"/>
        </w:rPr>
        <w:footnoteRef/>
      </w:r>
      <w:r w:rsidRPr="00891002">
        <w:rPr>
          <w:lang w:val="en-US"/>
        </w:rPr>
        <w:t xml:space="preserve"> </w:t>
      </w:r>
      <w:r w:rsidR="00891002" w:rsidRPr="00891002">
        <w:rPr>
          <w:lang w:val="en-US"/>
        </w:rPr>
        <w:t xml:space="preserve">Henning Wegener, </w:t>
      </w:r>
      <w:r w:rsidR="00D72795">
        <w:rPr>
          <w:lang w:val="en-US"/>
        </w:rPr>
        <w:t>“</w:t>
      </w:r>
      <w:r w:rsidR="00891002" w:rsidRPr="00891002">
        <w:rPr>
          <w:lang w:val="en-US"/>
        </w:rPr>
        <w:t>Harnessing the perils in cyberspace: who is in charge?</w:t>
      </w:r>
      <w:r w:rsidR="00D72795">
        <w:rPr>
          <w:lang w:val="en-US"/>
        </w:rPr>
        <w:t>”</w:t>
      </w:r>
      <w:r w:rsidR="00891002" w:rsidRPr="00891002">
        <w:rPr>
          <w:lang w:val="en-US"/>
        </w:rPr>
        <w:t xml:space="preserve"> UNIDIR,</w:t>
      </w:r>
      <w:r w:rsidR="00891002">
        <w:rPr>
          <w:lang w:val="en-US"/>
        </w:rPr>
        <w:t xml:space="preserve"> </w:t>
      </w:r>
      <w:r w:rsidR="00891002" w:rsidRPr="00891002">
        <w:rPr>
          <w:lang w:val="en-US"/>
        </w:rPr>
        <w:t>DISARMAMENT FORUM 3/2007</w:t>
      </w:r>
      <w:r w:rsidR="00A63882">
        <w:rPr>
          <w:lang w:val="en-US"/>
        </w:rPr>
        <w:t xml:space="preserve">. </w:t>
      </w:r>
      <w:r w:rsidR="00D72795">
        <w:rPr>
          <w:lang w:val="en-US"/>
        </w:rPr>
        <w:t xml:space="preserve">Indubitably, the ITU possesses the technical expertise, political perspective, organizational capacity and negotiating experience to handle such a task, </w:t>
      </w:r>
      <w:proofErr w:type="gramStart"/>
      <w:r w:rsidR="00D72795">
        <w:rPr>
          <w:lang w:val="en-US"/>
        </w:rPr>
        <w:t>However</w:t>
      </w:r>
      <w:proofErr w:type="gramEnd"/>
      <w:r w:rsidR="00D72795">
        <w:rPr>
          <w:lang w:val="en-US"/>
        </w:rPr>
        <w:t>, a number of countries wish to deempha</w:t>
      </w:r>
      <w:r w:rsidR="00247991">
        <w:rPr>
          <w:lang w:val="en-US"/>
        </w:rPr>
        <w:t>size the political</w:t>
      </w:r>
      <w:r w:rsidR="00D72795">
        <w:rPr>
          <w:lang w:val="en-US"/>
        </w:rPr>
        <w:t xml:space="preserve"> relevance of ITU and – erroneously – consider it a merely technical service organization. </w:t>
      </w:r>
    </w:p>
  </w:footnote>
  <w:footnote w:id="30">
    <w:p w:rsidR="00B94941" w:rsidRPr="00B94941" w:rsidRDefault="00B94941">
      <w:pPr>
        <w:pStyle w:val="Textonotapie"/>
        <w:rPr>
          <w:lang w:val="en-US"/>
        </w:rPr>
      </w:pPr>
      <w:r w:rsidRPr="00B94941">
        <w:rPr>
          <w:rStyle w:val="Refdenotaalpie"/>
        </w:rPr>
        <w:footnoteRef/>
      </w:r>
      <w:r w:rsidRPr="00B94941">
        <w:rPr>
          <w:lang w:val="en-US"/>
        </w:rPr>
        <w:t xml:space="preserve"> My views have no doubt been shaped by personal experience, representing my own country at the CD more </w:t>
      </w:r>
      <w:r w:rsidR="00247991">
        <w:rPr>
          <w:lang w:val="en-US"/>
        </w:rPr>
        <w:t xml:space="preserve">than </w:t>
      </w:r>
      <w:r w:rsidRPr="00B94941">
        <w:rPr>
          <w:lang w:val="en-US"/>
        </w:rPr>
        <w:t>five years.</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A53CC2"/>
    <w:rsid w:val="00010DB0"/>
    <w:rsid w:val="00011B2E"/>
    <w:rsid w:val="00015D11"/>
    <w:rsid w:val="00024803"/>
    <w:rsid w:val="000272CA"/>
    <w:rsid w:val="00030A4D"/>
    <w:rsid w:val="0007286E"/>
    <w:rsid w:val="00073F55"/>
    <w:rsid w:val="000765B5"/>
    <w:rsid w:val="000A279A"/>
    <w:rsid w:val="000A3C77"/>
    <w:rsid w:val="000A4936"/>
    <w:rsid w:val="000D125C"/>
    <w:rsid w:val="000D5E61"/>
    <w:rsid w:val="000E1907"/>
    <w:rsid w:val="000F7FCF"/>
    <w:rsid w:val="00102534"/>
    <w:rsid w:val="001030EF"/>
    <w:rsid w:val="00111DD6"/>
    <w:rsid w:val="001342BA"/>
    <w:rsid w:val="001342E9"/>
    <w:rsid w:val="001552B5"/>
    <w:rsid w:val="00183D5F"/>
    <w:rsid w:val="00194E2D"/>
    <w:rsid w:val="001B6FDA"/>
    <w:rsid w:val="001D631C"/>
    <w:rsid w:val="001F465D"/>
    <w:rsid w:val="001F46FA"/>
    <w:rsid w:val="002026B3"/>
    <w:rsid w:val="0022707E"/>
    <w:rsid w:val="00234BB2"/>
    <w:rsid w:val="00247991"/>
    <w:rsid w:val="002737DB"/>
    <w:rsid w:val="00273F00"/>
    <w:rsid w:val="00274EEF"/>
    <w:rsid w:val="00286E87"/>
    <w:rsid w:val="00290221"/>
    <w:rsid w:val="002A6BA8"/>
    <w:rsid w:val="002A7793"/>
    <w:rsid w:val="002B3FCF"/>
    <w:rsid w:val="002C0053"/>
    <w:rsid w:val="002C7E3F"/>
    <w:rsid w:val="002D6C0C"/>
    <w:rsid w:val="002E42C7"/>
    <w:rsid w:val="002E7477"/>
    <w:rsid w:val="002F5E1F"/>
    <w:rsid w:val="003051BF"/>
    <w:rsid w:val="00340030"/>
    <w:rsid w:val="00341E54"/>
    <w:rsid w:val="003601E1"/>
    <w:rsid w:val="00364ADA"/>
    <w:rsid w:val="00367E3B"/>
    <w:rsid w:val="00374CE5"/>
    <w:rsid w:val="00375E22"/>
    <w:rsid w:val="003811BD"/>
    <w:rsid w:val="003A3AFA"/>
    <w:rsid w:val="003B37B5"/>
    <w:rsid w:val="003C18A3"/>
    <w:rsid w:val="003C1D49"/>
    <w:rsid w:val="003C2163"/>
    <w:rsid w:val="003D049D"/>
    <w:rsid w:val="003D1759"/>
    <w:rsid w:val="003E4191"/>
    <w:rsid w:val="003E565F"/>
    <w:rsid w:val="004003F0"/>
    <w:rsid w:val="00416554"/>
    <w:rsid w:val="00433960"/>
    <w:rsid w:val="00451A63"/>
    <w:rsid w:val="00482C57"/>
    <w:rsid w:val="004943D5"/>
    <w:rsid w:val="004A2656"/>
    <w:rsid w:val="004B416A"/>
    <w:rsid w:val="004C59A9"/>
    <w:rsid w:val="004E0EA8"/>
    <w:rsid w:val="004E57C7"/>
    <w:rsid w:val="004E57ED"/>
    <w:rsid w:val="004F082F"/>
    <w:rsid w:val="00506265"/>
    <w:rsid w:val="005150E0"/>
    <w:rsid w:val="00537B6D"/>
    <w:rsid w:val="00541480"/>
    <w:rsid w:val="005417A6"/>
    <w:rsid w:val="00555E19"/>
    <w:rsid w:val="00567AF6"/>
    <w:rsid w:val="00567FA1"/>
    <w:rsid w:val="005776F8"/>
    <w:rsid w:val="005820D4"/>
    <w:rsid w:val="00591619"/>
    <w:rsid w:val="00591A5E"/>
    <w:rsid w:val="005956C2"/>
    <w:rsid w:val="005A6D10"/>
    <w:rsid w:val="005B2C2B"/>
    <w:rsid w:val="005B4274"/>
    <w:rsid w:val="005D3B97"/>
    <w:rsid w:val="005D6A2A"/>
    <w:rsid w:val="005E2094"/>
    <w:rsid w:val="005E2E29"/>
    <w:rsid w:val="005E50B9"/>
    <w:rsid w:val="005E545C"/>
    <w:rsid w:val="006339B0"/>
    <w:rsid w:val="00642483"/>
    <w:rsid w:val="00647ADA"/>
    <w:rsid w:val="00676429"/>
    <w:rsid w:val="006A5EAC"/>
    <w:rsid w:val="006A77C1"/>
    <w:rsid w:val="006B3D66"/>
    <w:rsid w:val="006B602C"/>
    <w:rsid w:val="006B630C"/>
    <w:rsid w:val="006C3C49"/>
    <w:rsid w:val="006C5A43"/>
    <w:rsid w:val="006E6353"/>
    <w:rsid w:val="00704023"/>
    <w:rsid w:val="00704573"/>
    <w:rsid w:val="00724291"/>
    <w:rsid w:val="00724B86"/>
    <w:rsid w:val="007329EB"/>
    <w:rsid w:val="00737216"/>
    <w:rsid w:val="007522D4"/>
    <w:rsid w:val="00756132"/>
    <w:rsid w:val="00757840"/>
    <w:rsid w:val="00767886"/>
    <w:rsid w:val="00792D62"/>
    <w:rsid w:val="007C5D8D"/>
    <w:rsid w:val="007D61BE"/>
    <w:rsid w:val="00801D7C"/>
    <w:rsid w:val="008134C1"/>
    <w:rsid w:val="00825BF4"/>
    <w:rsid w:val="008747BF"/>
    <w:rsid w:val="00891002"/>
    <w:rsid w:val="008A4B61"/>
    <w:rsid w:val="008B4854"/>
    <w:rsid w:val="008B5483"/>
    <w:rsid w:val="008D4FCA"/>
    <w:rsid w:val="008E2C4B"/>
    <w:rsid w:val="008F3B23"/>
    <w:rsid w:val="00912D1B"/>
    <w:rsid w:val="00933CCF"/>
    <w:rsid w:val="009340E4"/>
    <w:rsid w:val="00951DF1"/>
    <w:rsid w:val="0097174A"/>
    <w:rsid w:val="00992F40"/>
    <w:rsid w:val="009A11C0"/>
    <w:rsid w:val="009C321F"/>
    <w:rsid w:val="009C69E9"/>
    <w:rsid w:val="009E1869"/>
    <w:rsid w:val="009E7C05"/>
    <w:rsid w:val="00A017BD"/>
    <w:rsid w:val="00A07DAE"/>
    <w:rsid w:val="00A1437E"/>
    <w:rsid w:val="00A21579"/>
    <w:rsid w:val="00A471AC"/>
    <w:rsid w:val="00A53CC2"/>
    <w:rsid w:val="00A60E4E"/>
    <w:rsid w:val="00A63882"/>
    <w:rsid w:val="00A74A16"/>
    <w:rsid w:val="00A80C56"/>
    <w:rsid w:val="00A84374"/>
    <w:rsid w:val="00AB0CBE"/>
    <w:rsid w:val="00AB1907"/>
    <w:rsid w:val="00AB5F5F"/>
    <w:rsid w:val="00AC022F"/>
    <w:rsid w:val="00AC3FF6"/>
    <w:rsid w:val="00AC400D"/>
    <w:rsid w:val="00AC5A58"/>
    <w:rsid w:val="00AD419D"/>
    <w:rsid w:val="00AE6588"/>
    <w:rsid w:val="00B00AB5"/>
    <w:rsid w:val="00B20FEE"/>
    <w:rsid w:val="00B31ACE"/>
    <w:rsid w:val="00B514C4"/>
    <w:rsid w:val="00B56DD1"/>
    <w:rsid w:val="00B67C9B"/>
    <w:rsid w:val="00B73735"/>
    <w:rsid w:val="00B8298C"/>
    <w:rsid w:val="00B94941"/>
    <w:rsid w:val="00B95730"/>
    <w:rsid w:val="00BA0B93"/>
    <w:rsid w:val="00BA4E47"/>
    <w:rsid w:val="00BA5EE7"/>
    <w:rsid w:val="00BC1165"/>
    <w:rsid w:val="00BC4268"/>
    <w:rsid w:val="00BC491E"/>
    <w:rsid w:val="00BC5C04"/>
    <w:rsid w:val="00BF162A"/>
    <w:rsid w:val="00BF2CB3"/>
    <w:rsid w:val="00C03D6C"/>
    <w:rsid w:val="00C11D8C"/>
    <w:rsid w:val="00C266B2"/>
    <w:rsid w:val="00C35AD8"/>
    <w:rsid w:val="00C6453E"/>
    <w:rsid w:val="00C65C70"/>
    <w:rsid w:val="00C66DBC"/>
    <w:rsid w:val="00C84FAE"/>
    <w:rsid w:val="00C979BA"/>
    <w:rsid w:val="00CA16B7"/>
    <w:rsid w:val="00CA551C"/>
    <w:rsid w:val="00CB752C"/>
    <w:rsid w:val="00CD2A53"/>
    <w:rsid w:val="00CD64B8"/>
    <w:rsid w:val="00CE1351"/>
    <w:rsid w:val="00CF7F2C"/>
    <w:rsid w:val="00D12DCA"/>
    <w:rsid w:val="00D21037"/>
    <w:rsid w:val="00D26AA3"/>
    <w:rsid w:val="00D470D9"/>
    <w:rsid w:val="00D57814"/>
    <w:rsid w:val="00D62FD5"/>
    <w:rsid w:val="00D72795"/>
    <w:rsid w:val="00D8287D"/>
    <w:rsid w:val="00D912EC"/>
    <w:rsid w:val="00DA08A5"/>
    <w:rsid w:val="00DA5681"/>
    <w:rsid w:val="00DA60AB"/>
    <w:rsid w:val="00DA768E"/>
    <w:rsid w:val="00DB2FF7"/>
    <w:rsid w:val="00DB3DE6"/>
    <w:rsid w:val="00DC6E53"/>
    <w:rsid w:val="00DD2171"/>
    <w:rsid w:val="00DF4435"/>
    <w:rsid w:val="00E0622B"/>
    <w:rsid w:val="00E40828"/>
    <w:rsid w:val="00E43AB9"/>
    <w:rsid w:val="00E46E07"/>
    <w:rsid w:val="00E53B80"/>
    <w:rsid w:val="00E84F9C"/>
    <w:rsid w:val="00E862A2"/>
    <w:rsid w:val="00EB0101"/>
    <w:rsid w:val="00EB4E80"/>
    <w:rsid w:val="00EC385B"/>
    <w:rsid w:val="00EC3D33"/>
    <w:rsid w:val="00EC4CD5"/>
    <w:rsid w:val="00EE0BD1"/>
    <w:rsid w:val="00EF598E"/>
    <w:rsid w:val="00F6731D"/>
    <w:rsid w:val="00F74496"/>
    <w:rsid w:val="00F77813"/>
    <w:rsid w:val="00F82E8B"/>
    <w:rsid w:val="00FA4C91"/>
    <w:rsid w:val="00FA70D7"/>
    <w:rsid w:val="00FB124F"/>
    <w:rsid w:val="00FC2FCE"/>
    <w:rsid w:val="00FC5CD5"/>
    <w:rsid w:val="00FC69CF"/>
    <w:rsid w:val="00FD6FD6"/>
    <w:rsid w:val="00FE1C19"/>
    <w:rsid w:val="00FE1F08"/>
    <w:rsid w:val="00FE7FD5"/>
    <w:rsid w:val="00FF15B1"/>
    <w:rsid w:val="00FF2F7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s Gothic MT" w:eastAsiaTheme="minorHAnsi" w:hAnsi="News Gothic MT" w:cstheme="minorBidi"/>
        <w:sz w:val="24"/>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5C04"/>
  </w:style>
  <w:style w:type="paragraph" w:styleId="Ttulo1">
    <w:name w:val="heading 1"/>
    <w:basedOn w:val="Normal"/>
    <w:link w:val="Ttulo1Car"/>
    <w:uiPriority w:val="9"/>
    <w:qFormat/>
    <w:rsid w:val="00CD64B8"/>
    <w:pPr>
      <w:spacing w:after="0" w:line="375" w:lineRule="atLeast"/>
      <w:outlineLvl w:val="0"/>
    </w:pPr>
    <w:rPr>
      <w:rFonts w:ascii="Arial" w:eastAsia="Times New Roman" w:hAnsi="Arial" w:cs="Arial"/>
      <w:b/>
      <w:bCs/>
      <w:color w:val="116C9E"/>
      <w:kern w:val="36"/>
      <w:sz w:val="30"/>
      <w:szCs w:val="3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AC3FF6"/>
    <w:pPr>
      <w:autoSpaceDE w:val="0"/>
      <w:autoSpaceDN w:val="0"/>
      <w:adjustRightInd w:val="0"/>
      <w:spacing w:after="0" w:line="240" w:lineRule="auto"/>
    </w:pPr>
    <w:rPr>
      <w:rFonts w:ascii="Times New Roman" w:hAnsi="Times New Roman" w:cs="Times New Roman"/>
      <w:color w:val="000000"/>
      <w:szCs w:val="24"/>
    </w:rPr>
  </w:style>
  <w:style w:type="paragraph" w:styleId="Textonotaalfinal">
    <w:name w:val="endnote text"/>
    <w:basedOn w:val="Normal"/>
    <w:link w:val="TextonotaalfinalCar"/>
    <w:unhideWhenUsed/>
    <w:rsid w:val="00EC3D33"/>
    <w:pPr>
      <w:spacing w:after="0" w:line="240" w:lineRule="auto"/>
    </w:pPr>
    <w:rPr>
      <w:sz w:val="20"/>
    </w:rPr>
  </w:style>
  <w:style w:type="character" w:customStyle="1" w:styleId="TextonotaalfinalCar">
    <w:name w:val="Texto nota al final Car"/>
    <w:basedOn w:val="Fuentedeprrafopredeter"/>
    <w:link w:val="Textonotaalfinal"/>
    <w:rsid w:val="00EC3D33"/>
    <w:rPr>
      <w:sz w:val="20"/>
      <w:szCs w:val="20"/>
    </w:rPr>
  </w:style>
  <w:style w:type="character" w:styleId="Refdenotaalfinal">
    <w:name w:val="endnote reference"/>
    <w:basedOn w:val="Fuentedeprrafopredeter"/>
    <w:uiPriority w:val="99"/>
    <w:semiHidden/>
    <w:unhideWhenUsed/>
    <w:rsid w:val="00EC3D33"/>
    <w:rPr>
      <w:vertAlign w:val="superscript"/>
    </w:rPr>
  </w:style>
  <w:style w:type="paragraph" w:styleId="Textonotapie">
    <w:name w:val="footnote text"/>
    <w:basedOn w:val="Normal"/>
    <w:link w:val="TextonotapieCar"/>
    <w:semiHidden/>
    <w:unhideWhenUsed/>
    <w:rsid w:val="00A60E4E"/>
    <w:pPr>
      <w:spacing w:after="0" w:line="240" w:lineRule="auto"/>
    </w:pPr>
    <w:rPr>
      <w:sz w:val="20"/>
    </w:rPr>
  </w:style>
  <w:style w:type="character" w:customStyle="1" w:styleId="TextonotapieCar">
    <w:name w:val="Texto nota pie Car"/>
    <w:basedOn w:val="Fuentedeprrafopredeter"/>
    <w:link w:val="Textonotapie"/>
    <w:uiPriority w:val="99"/>
    <w:semiHidden/>
    <w:rsid w:val="00A60E4E"/>
    <w:rPr>
      <w:sz w:val="20"/>
      <w:szCs w:val="20"/>
    </w:rPr>
  </w:style>
  <w:style w:type="character" w:styleId="Refdenotaalpie">
    <w:name w:val="footnote reference"/>
    <w:basedOn w:val="Fuentedeprrafopredeter"/>
    <w:uiPriority w:val="99"/>
    <w:semiHidden/>
    <w:unhideWhenUsed/>
    <w:rsid w:val="00A60E4E"/>
    <w:rPr>
      <w:vertAlign w:val="superscript"/>
    </w:rPr>
  </w:style>
  <w:style w:type="character" w:customStyle="1" w:styleId="Ttulo1Car">
    <w:name w:val="Título 1 Car"/>
    <w:basedOn w:val="Fuentedeprrafopredeter"/>
    <w:link w:val="Ttulo1"/>
    <w:uiPriority w:val="9"/>
    <w:rsid w:val="00CD64B8"/>
    <w:rPr>
      <w:rFonts w:ascii="Arial" w:eastAsia="Times New Roman" w:hAnsi="Arial" w:cs="Arial"/>
      <w:b/>
      <w:bCs/>
      <w:color w:val="116C9E"/>
      <w:kern w:val="36"/>
      <w:sz w:val="30"/>
      <w:szCs w:val="30"/>
      <w:lang w:eastAsia="es-ES"/>
    </w:rPr>
  </w:style>
  <w:style w:type="character" w:styleId="Hipervnculo">
    <w:name w:val="Hyperlink"/>
    <w:basedOn w:val="Fuentedeprrafopredeter"/>
    <w:uiPriority w:val="99"/>
    <w:unhideWhenUsed/>
    <w:rsid w:val="001F46FA"/>
    <w:rPr>
      <w:color w:val="0000FF" w:themeColor="hyperlink"/>
      <w:u w:val="single"/>
    </w:rPr>
  </w:style>
  <w:style w:type="character" w:customStyle="1" w:styleId="t101">
    <w:name w:val="t101"/>
    <w:basedOn w:val="Fuentedeprrafopredeter"/>
    <w:rsid w:val="003D049D"/>
    <w:rPr>
      <w:color w:val="339933"/>
      <w:sz w:val="24"/>
      <w:szCs w:val="24"/>
    </w:rPr>
  </w:style>
</w:styles>
</file>

<file path=word/webSettings.xml><?xml version="1.0" encoding="utf-8"?>
<w:webSettings xmlns:r="http://schemas.openxmlformats.org/officeDocument/2006/relationships" xmlns:w="http://schemas.openxmlformats.org/wordprocessingml/2006/main">
  <w:divs>
    <w:div w:id="2023243854">
      <w:bodyDiv w:val="1"/>
      <w:marLeft w:val="0"/>
      <w:marRight w:val="0"/>
      <w:marTop w:val="0"/>
      <w:marBottom w:val="0"/>
      <w:divBdr>
        <w:top w:val="none" w:sz="0" w:space="0" w:color="auto"/>
        <w:left w:val="none" w:sz="0" w:space="0" w:color="auto"/>
        <w:bottom w:val="none" w:sz="0" w:space="0" w:color="auto"/>
        <w:right w:val="none" w:sz="0" w:space="0" w:color="auto"/>
      </w:divBdr>
      <w:divsChild>
        <w:div w:id="2123068317">
          <w:marLeft w:val="0"/>
          <w:marRight w:val="0"/>
          <w:marTop w:val="0"/>
          <w:marBottom w:val="0"/>
          <w:divBdr>
            <w:top w:val="none" w:sz="0" w:space="0" w:color="auto"/>
            <w:left w:val="none" w:sz="0" w:space="0" w:color="auto"/>
            <w:bottom w:val="none" w:sz="0" w:space="0" w:color="auto"/>
            <w:right w:val="none" w:sz="0" w:space="0" w:color="auto"/>
          </w:divBdr>
          <w:divsChild>
            <w:div w:id="1120800912">
              <w:marLeft w:val="0"/>
              <w:marRight w:val="0"/>
              <w:marTop w:val="0"/>
              <w:marBottom w:val="0"/>
              <w:divBdr>
                <w:top w:val="none" w:sz="0" w:space="0" w:color="auto"/>
                <w:left w:val="none" w:sz="0" w:space="0" w:color="auto"/>
                <w:bottom w:val="none" w:sz="0" w:space="0" w:color="auto"/>
                <w:right w:val="none" w:sz="0" w:space="0" w:color="auto"/>
              </w:divBdr>
              <w:divsChild>
                <w:div w:id="25251797">
                  <w:marLeft w:val="0"/>
                  <w:marRight w:val="0"/>
                  <w:marTop w:val="0"/>
                  <w:marBottom w:val="0"/>
                  <w:divBdr>
                    <w:top w:val="none" w:sz="0" w:space="0" w:color="auto"/>
                    <w:left w:val="none" w:sz="0" w:space="0" w:color="auto"/>
                    <w:bottom w:val="none" w:sz="0" w:space="0" w:color="auto"/>
                    <w:right w:val="none" w:sz="0" w:space="0" w:color="auto"/>
                  </w:divBdr>
                  <w:divsChild>
                    <w:div w:id="1137724651">
                      <w:marLeft w:val="0"/>
                      <w:marRight w:val="0"/>
                      <w:marTop w:val="150"/>
                      <w:marBottom w:val="0"/>
                      <w:divBdr>
                        <w:top w:val="single" w:sz="6" w:space="8" w:color="D1D1D1"/>
                        <w:left w:val="single" w:sz="6" w:space="8" w:color="D1D1D1"/>
                        <w:bottom w:val="single" w:sz="6" w:space="8" w:color="D1D1D1"/>
                        <w:right w:val="single" w:sz="6" w:space="8" w:color="D1D1D1"/>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http://www.auswaertiges-amt.de/DE/Aussenpolitik/Friedenspolitik/%20Abruestung/Projekte/%20Cybersicherheit.html" TargetMode="External"/><Relationship Id="rId1" Type="http://schemas.openxmlformats.org/officeDocument/2006/relationships/hyperlink" Target="http://www.mid.ru/bdomp/ns-osndoc.nsf/e2f289bea62097f9c325787a0034c255/6912ce36aa5f1e92c32579250035bebd!OpenDocumen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0006B7-B9E5-4B38-8A33-F5BBC70A93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2930</Words>
  <Characters>16121</Characters>
  <Application>Microsoft Office Word</Application>
  <DocSecurity>0</DocSecurity>
  <Lines>134</Lines>
  <Paragraphs>38</Paragraphs>
  <ScaleCrop>false</ScaleCrop>
  <HeadingPairs>
    <vt:vector size="4" baseType="variant">
      <vt:variant>
        <vt:lpstr>Titel</vt:lpstr>
      </vt:variant>
      <vt:variant>
        <vt:i4>1</vt:i4>
      </vt:variant>
      <vt:variant>
        <vt:lpstr>Título</vt:lpstr>
      </vt:variant>
      <vt:variant>
        <vt:i4>1</vt:i4>
      </vt:variant>
    </vt:vector>
  </HeadingPairs>
  <TitlesOfParts>
    <vt:vector size="2" baseType="lpstr">
      <vt:lpstr/>
      <vt:lpstr/>
    </vt:vector>
  </TitlesOfParts>
  <Company>Hewlett-Packard Company</Company>
  <LinksUpToDate>false</LinksUpToDate>
  <CharactersWithSpaces>19013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Henning</dc:creator>
  <cp:lastModifiedBy>Henning</cp:lastModifiedBy>
  <cp:revision>2</cp:revision>
  <cp:lastPrinted>2012-08-21T15:27:00Z</cp:lastPrinted>
  <dcterms:created xsi:type="dcterms:W3CDTF">2015-11-23T09:36:00Z</dcterms:created>
  <dcterms:modified xsi:type="dcterms:W3CDTF">2015-11-23T09:36:00Z</dcterms:modified>
</cp:coreProperties>
</file>